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7" w:line="624" w:lineRule="exact"/>
        <w:jc w:val="center"/>
        <w:rPr>
          <w:rFonts w:ascii="SimHei" w:hAnsi="SimHei" w:eastAsia="SimHei" w:cs="SimHei"/>
          <w:b/>
          <w:bCs/>
          <w:sz w:val="44"/>
          <w:szCs w:val="44"/>
        </w:rPr>
      </w:pPr>
      <w:r>
        <w:rPr>
          <w:rFonts w:hint="eastAsia" w:ascii="SimHei" w:hAnsi="SimHei" w:eastAsia="SimHei" w:cs="SimHei"/>
          <w:b/>
          <w:bCs/>
          <w:spacing w:val="-3"/>
          <w:position w:val="19"/>
          <w:sz w:val="44"/>
          <w:szCs w:val="44"/>
          <w:lang w:val="en-US" w:eastAsia="zh-Hans"/>
        </w:rPr>
        <w:t>深圳市慈航纳生</w:t>
      </w:r>
      <w:r>
        <w:rPr>
          <w:rFonts w:ascii="SimHei" w:hAnsi="SimHei" w:eastAsia="SimHei" w:cs="SimHei"/>
          <w:b/>
          <w:bCs/>
          <w:spacing w:val="-2"/>
          <w:position w:val="19"/>
          <w:sz w:val="44"/>
          <w:szCs w:val="44"/>
        </w:rPr>
        <w:t>慈善基金会</w:t>
      </w:r>
    </w:p>
    <w:p>
      <w:pPr>
        <w:spacing w:before="1" w:line="220" w:lineRule="auto"/>
        <w:ind w:left="2047"/>
        <w:rPr>
          <w:rFonts w:ascii="SimHei" w:hAnsi="SimHei" w:eastAsia="SimHei" w:cs="SimHei"/>
          <w:sz w:val="36"/>
          <w:szCs w:val="36"/>
        </w:rPr>
      </w:pPr>
      <w:r>
        <w:rPr>
          <w:rFonts w:ascii="SimHei" w:hAnsi="SimHei" w:eastAsia="SimHei" w:cs="SimHei"/>
          <w:spacing w:val="-4"/>
          <w:sz w:val="36"/>
          <w:szCs w:val="36"/>
        </w:rPr>
        <w:t>资</w:t>
      </w:r>
      <w:r>
        <w:rPr>
          <w:rFonts w:ascii="SimHei" w:hAnsi="SimHei" w:eastAsia="SimHei" w:cs="SimHei"/>
          <w:spacing w:val="-3"/>
          <w:sz w:val="36"/>
          <w:szCs w:val="36"/>
        </w:rPr>
        <w:t>金</w:t>
      </w:r>
      <w:r>
        <w:rPr>
          <w:rFonts w:ascii="SimHei" w:hAnsi="SimHei" w:eastAsia="SimHei" w:cs="SimHei"/>
          <w:spacing w:val="-2"/>
          <w:sz w:val="36"/>
          <w:szCs w:val="36"/>
        </w:rPr>
        <w:t>保值增值投资管理办法</w:t>
      </w:r>
    </w:p>
    <w:p>
      <w:pPr>
        <w:spacing w:line="265" w:lineRule="auto"/>
        <w:rPr>
          <w:rFonts w:ascii="Arial"/>
          <w:sz w:val="21"/>
        </w:rPr>
      </w:pPr>
    </w:p>
    <w:p>
      <w:pPr>
        <w:spacing w:before="101" w:line="227" w:lineRule="auto"/>
        <w:ind w:left="3149"/>
        <w:rPr>
          <w:rFonts w:ascii="SimHei" w:hAnsi="SimHei" w:eastAsia="SimHei" w:cs="SimHei"/>
          <w:sz w:val="31"/>
          <w:szCs w:val="31"/>
        </w:rPr>
      </w:pPr>
      <w:r>
        <w:rPr>
          <w:rFonts w:ascii="SimHei" w:hAnsi="SimHei" w:eastAsia="SimHei" w:cs="SimHei"/>
          <w:spacing w:val="8"/>
          <w:sz w:val="31"/>
          <w:szCs w:val="31"/>
          <w14:textOutline w14:w="5791" w14:cap="flat" w14:cmpd="sng">
            <w14:solidFill>
              <w14:srgbClr w14:val="000000"/>
            </w14:solidFill>
            <w14:prstDash w14:val="solid"/>
            <w14:miter w14:val="10"/>
          </w14:textOutline>
        </w:rPr>
        <w:t>第一章总</w:t>
      </w:r>
      <w:r>
        <w:rPr>
          <w:rFonts w:ascii="SimHei" w:hAnsi="SimHei" w:eastAsia="SimHei" w:cs="SimHei"/>
          <w:spacing w:val="6"/>
          <w:sz w:val="31"/>
          <w:szCs w:val="31"/>
          <w14:textOutline w14:w="5791" w14:cap="flat" w14:cmpd="sng">
            <w14:solidFill>
              <w14:srgbClr w14:val="000000"/>
            </w14:solidFill>
            <w14:prstDash w14:val="solid"/>
            <w14:miter w14:val="10"/>
          </w14:textOutline>
        </w:rPr>
        <w:t>则</w:t>
      </w:r>
    </w:p>
    <w:p>
      <w:pPr>
        <w:spacing w:line="329" w:lineRule="auto"/>
        <w:rPr>
          <w:rFonts w:ascii="Arial"/>
          <w:sz w:val="21"/>
        </w:rPr>
      </w:pPr>
    </w:p>
    <w:p>
      <w:pPr>
        <w:spacing w:before="91" w:line="411" w:lineRule="auto"/>
        <w:ind w:left="41" w:right="91" w:firstLine="555"/>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第一条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为了规范</w:t>
      </w:r>
      <w:r>
        <w:rPr>
          <w:rFonts w:ascii="FangSong" w:hAnsi="FangSong" w:eastAsia="FangSong" w:cs="FangSong"/>
          <w:spacing w:val="-1"/>
          <w:sz w:val="28"/>
          <w:szCs w:val="28"/>
        </w:rPr>
        <w:t>深圳市慈航纳生</w:t>
      </w:r>
      <w:r>
        <w:rPr>
          <w:rFonts w:ascii="FangSong" w:hAnsi="FangSong" w:eastAsia="FangSong" w:cs="FangSong"/>
          <w:spacing w:val="-1"/>
          <w:sz w:val="28"/>
          <w:szCs w:val="28"/>
        </w:rPr>
        <w:t>慈善基金会(以下简称“基金</w:t>
      </w:r>
      <w:r>
        <w:rPr>
          <w:rFonts w:ascii="FangSong" w:hAnsi="FangSong" w:eastAsia="FangSong" w:cs="FangSong"/>
          <w:sz w:val="28"/>
          <w:szCs w:val="28"/>
        </w:rPr>
        <w:t>会”)资</w:t>
      </w:r>
      <w:r>
        <w:rPr>
          <w:rFonts w:ascii="FangSong" w:hAnsi="FangSong" w:eastAsia="FangSong" w:cs="FangSong"/>
          <w:spacing w:val="-9"/>
          <w:sz w:val="28"/>
          <w:szCs w:val="28"/>
        </w:rPr>
        <w:t>金</w:t>
      </w:r>
      <w:r>
        <w:rPr>
          <w:rFonts w:ascii="FangSong" w:hAnsi="FangSong" w:eastAsia="FangSong" w:cs="FangSong"/>
          <w:spacing w:val="-5"/>
          <w:sz w:val="28"/>
          <w:szCs w:val="28"/>
        </w:rPr>
        <w:t>保值增值投资活动，提高资金运作效率，规避投资决策和执行过</w:t>
      </w:r>
      <w:r>
        <w:rPr>
          <w:rFonts w:ascii="FangSong" w:hAnsi="FangSong" w:eastAsia="FangSong" w:cs="FangSong"/>
          <w:spacing w:val="-18"/>
          <w:sz w:val="28"/>
          <w:szCs w:val="28"/>
        </w:rPr>
        <w:t>程中</w:t>
      </w:r>
      <w:r>
        <w:rPr>
          <w:rFonts w:ascii="FangSong" w:hAnsi="FangSong" w:eastAsia="FangSong" w:cs="FangSong"/>
          <w:spacing w:val="-15"/>
          <w:sz w:val="28"/>
          <w:szCs w:val="28"/>
        </w:rPr>
        <w:t>的</w:t>
      </w:r>
      <w:r>
        <w:rPr>
          <w:rFonts w:ascii="FangSong" w:hAnsi="FangSong" w:eastAsia="FangSong" w:cs="FangSong"/>
          <w:spacing w:val="-9"/>
          <w:sz w:val="28"/>
          <w:szCs w:val="28"/>
        </w:rPr>
        <w:t>法律风险，实现慈善财产的保值增值，根据《慈善法》、《基</w:t>
      </w:r>
      <w:r>
        <w:rPr>
          <w:rFonts w:ascii="FangSong" w:hAnsi="FangSong" w:eastAsia="FangSong" w:cs="FangSong"/>
          <w:spacing w:val="-4"/>
          <w:sz w:val="28"/>
          <w:szCs w:val="28"/>
        </w:rPr>
        <w:t>金会管理条例》和《慈善组织保值增值投资活动管理暂行办法》</w:t>
      </w:r>
      <w:r>
        <w:rPr>
          <w:rFonts w:ascii="FangSong" w:hAnsi="FangSong" w:eastAsia="FangSong" w:cs="FangSong"/>
          <w:spacing w:val="-2"/>
          <w:sz w:val="28"/>
          <w:szCs w:val="28"/>
        </w:rPr>
        <w:t>、</w:t>
      </w:r>
      <w:r>
        <w:rPr>
          <w:rFonts w:ascii="FangSong" w:hAnsi="FangSong" w:eastAsia="FangSong" w:cs="FangSong"/>
          <w:spacing w:val="-19"/>
          <w:sz w:val="28"/>
          <w:szCs w:val="28"/>
        </w:rPr>
        <w:t>《</w:t>
      </w:r>
      <w:r>
        <w:rPr>
          <w:rFonts w:ascii="FangSong" w:hAnsi="FangSong" w:eastAsia="FangSong" w:cs="FangSong"/>
          <w:spacing w:val="-16"/>
          <w:sz w:val="28"/>
          <w:szCs w:val="28"/>
        </w:rPr>
        <w:t>章程》等相关规定，制定本办法。</w:t>
      </w:r>
    </w:p>
    <w:p>
      <w:pPr>
        <w:spacing w:before="1" w:line="411" w:lineRule="auto"/>
        <w:ind w:left="50" w:right="372" w:firstLine="546"/>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本办法适用于基金会所有以保值增值为目的的投资</w:t>
      </w:r>
      <w:r>
        <w:rPr>
          <w:rFonts w:ascii="FangSong" w:hAnsi="FangSong" w:eastAsia="FangSong" w:cs="FangSong"/>
          <w:sz w:val="28"/>
          <w:szCs w:val="28"/>
        </w:rPr>
        <w:t>活</w:t>
      </w:r>
      <w:r>
        <w:rPr>
          <w:rFonts w:ascii="FangSong" w:hAnsi="FangSong" w:eastAsia="FangSong" w:cs="FangSong"/>
          <w:spacing w:val="-12"/>
          <w:sz w:val="28"/>
          <w:szCs w:val="28"/>
        </w:rPr>
        <w:t>动</w:t>
      </w:r>
      <w:r>
        <w:rPr>
          <w:rFonts w:ascii="FangSong" w:hAnsi="FangSong" w:eastAsia="FangSong" w:cs="FangSong"/>
          <w:spacing w:val="-10"/>
          <w:sz w:val="28"/>
          <w:szCs w:val="28"/>
        </w:rPr>
        <w:t>。</w:t>
      </w:r>
    </w:p>
    <w:p>
      <w:pPr>
        <w:spacing w:before="2" w:line="411" w:lineRule="auto"/>
        <w:ind w:left="46" w:right="93" w:firstLine="55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第三条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基金会可用于保值增值投资的资金来源为：基金会接</w:t>
      </w:r>
      <w:r>
        <w:rPr>
          <w:rFonts w:ascii="FangSong" w:hAnsi="FangSong" w:eastAsia="FangSong" w:cs="FangSong"/>
          <w:sz w:val="28"/>
          <w:szCs w:val="28"/>
        </w:rPr>
        <w:t>受</w:t>
      </w:r>
      <w:r>
        <w:rPr>
          <w:rFonts w:ascii="FangSong" w:hAnsi="FangSong" w:eastAsia="FangSong" w:cs="FangSong"/>
          <w:spacing w:val="-1"/>
          <w:sz w:val="28"/>
          <w:szCs w:val="28"/>
        </w:rPr>
        <w:t>的除政府资助和捐赠协议约定不得投资的资金</w:t>
      </w:r>
      <w:r>
        <w:rPr>
          <w:rFonts w:ascii="FangSong" w:hAnsi="FangSong" w:eastAsia="FangSong" w:cs="FangSong"/>
          <w:sz w:val="28"/>
          <w:szCs w:val="28"/>
        </w:rPr>
        <w:t>外的其他来源形成的</w:t>
      </w:r>
      <w:r>
        <w:rPr>
          <w:rFonts w:ascii="FangSong" w:hAnsi="FangSong" w:eastAsia="FangSong" w:cs="FangSong"/>
          <w:spacing w:val="-3"/>
          <w:sz w:val="28"/>
          <w:szCs w:val="28"/>
        </w:rPr>
        <w:t>基金会资金</w:t>
      </w:r>
      <w:r>
        <w:rPr>
          <w:rFonts w:ascii="FangSong" w:hAnsi="FangSong" w:eastAsia="FangSong" w:cs="FangSong"/>
          <w:spacing w:val="-2"/>
          <w:sz w:val="28"/>
          <w:szCs w:val="28"/>
        </w:rPr>
        <w:t>。</w:t>
      </w:r>
    </w:p>
    <w:p>
      <w:pPr>
        <w:spacing w:before="3" w:line="415" w:lineRule="auto"/>
        <w:ind w:left="54" w:right="93" w:firstLine="542"/>
        <w:rPr>
          <w:rFonts w:ascii="FangSong" w:hAnsi="FangSong" w:eastAsia="FangSong" w:cs="FangSong"/>
          <w:sz w:val="28"/>
          <w:szCs w:val="28"/>
        </w:rPr>
      </w:pPr>
      <w:r>
        <w:rPr>
          <w:rFonts w:ascii="FangSong" w:hAnsi="FangSong" w:eastAsia="FangSong" w:cs="FangSong"/>
          <w:spacing w:val="-10"/>
          <w:sz w:val="28"/>
          <w:szCs w:val="28"/>
          <w14:textOutline w14:w="5092" w14:cap="flat" w14:cmpd="sng">
            <w14:solidFill>
              <w14:srgbClr w14:val="000000"/>
            </w14:solidFill>
            <w14:prstDash w14:val="solid"/>
            <w14:miter w14:val="10"/>
          </w14:textOutline>
        </w:rPr>
        <w:t>第四条</w:t>
      </w:r>
      <w:r>
        <w:rPr>
          <w:rFonts w:hint="default" w:ascii="FangSong" w:hAnsi="FangSong" w:eastAsia="FangSong" w:cs="FangSong"/>
          <w:spacing w:val="-10"/>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7"/>
          <w:sz w:val="28"/>
          <w:szCs w:val="28"/>
        </w:rPr>
        <w:t>基</w:t>
      </w:r>
      <w:r>
        <w:rPr>
          <w:rFonts w:ascii="FangSong" w:hAnsi="FangSong" w:eastAsia="FangSong" w:cs="FangSong"/>
          <w:spacing w:val="-5"/>
          <w:sz w:val="28"/>
          <w:szCs w:val="28"/>
        </w:rPr>
        <w:t>金会的重大投资标准：直接股权投资、直接投向一级</w:t>
      </w:r>
      <w:r>
        <w:rPr>
          <w:rFonts w:ascii="FangSong" w:hAnsi="FangSong" w:eastAsia="FangSong" w:cs="FangSong"/>
          <w:spacing w:val="-1"/>
          <w:sz w:val="28"/>
          <w:szCs w:val="28"/>
        </w:rPr>
        <w:t>市场或二级市场的私募基金、除货币基金外的公募基金等任</w:t>
      </w:r>
      <w:r>
        <w:rPr>
          <w:rFonts w:ascii="FangSong" w:hAnsi="FangSong" w:eastAsia="FangSong" w:cs="FangSong"/>
          <w:sz w:val="28"/>
          <w:szCs w:val="28"/>
        </w:rPr>
        <w:t>何投</w:t>
      </w:r>
      <w:r>
        <w:rPr>
          <w:rFonts w:ascii="FangSong" w:hAnsi="FangSong" w:eastAsia="FangSong" w:cs="FangSong"/>
          <w:spacing w:val="-14"/>
          <w:sz w:val="28"/>
          <w:szCs w:val="28"/>
        </w:rPr>
        <w:t>资</w:t>
      </w:r>
      <w:r>
        <w:rPr>
          <w:rFonts w:ascii="FangSong" w:hAnsi="FangSong" w:eastAsia="FangSong" w:cs="FangSong"/>
          <w:spacing w:val="-12"/>
          <w:sz w:val="28"/>
          <w:szCs w:val="28"/>
        </w:rPr>
        <w:t>。</w:t>
      </w:r>
    </w:p>
    <w:p>
      <w:pPr>
        <w:spacing w:before="116" w:line="227" w:lineRule="auto"/>
        <w:ind w:left="2186"/>
        <w:rPr>
          <w:rFonts w:ascii="SimHei" w:hAnsi="SimHei" w:eastAsia="SimHei" w:cs="SimHei"/>
          <w:sz w:val="31"/>
          <w:szCs w:val="31"/>
        </w:rPr>
      </w:pPr>
      <w:r>
        <w:rPr>
          <w:rFonts w:ascii="SimHei" w:hAnsi="SimHei" w:eastAsia="SimHei" w:cs="SimHei"/>
          <w:spacing w:val="10"/>
          <w:sz w:val="31"/>
          <w:szCs w:val="31"/>
          <w14:textOutline w14:w="5791" w14:cap="flat" w14:cmpd="sng">
            <w14:solidFill>
              <w14:srgbClr w14:val="000000"/>
            </w14:solidFill>
            <w14:prstDash w14:val="solid"/>
            <w14:miter w14:val="10"/>
          </w14:textOutline>
        </w:rPr>
        <w:t>第二章投资目标和基本原</w:t>
      </w:r>
      <w:r>
        <w:rPr>
          <w:rFonts w:ascii="SimHei" w:hAnsi="SimHei" w:eastAsia="SimHei" w:cs="SimHei"/>
          <w:spacing w:val="7"/>
          <w:sz w:val="31"/>
          <w:szCs w:val="31"/>
          <w14:textOutline w14:w="5791" w14:cap="flat" w14:cmpd="sng">
            <w14:solidFill>
              <w14:srgbClr w14:val="000000"/>
            </w14:solidFill>
            <w14:prstDash w14:val="solid"/>
            <w14:miter w14:val="10"/>
          </w14:textOutline>
        </w:rPr>
        <w:t>则</w:t>
      </w:r>
    </w:p>
    <w:p>
      <w:pPr>
        <w:spacing w:line="327" w:lineRule="auto"/>
        <w:rPr>
          <w:rFonts w:ascii="Arial"/>
          <w:sz w:val="21"/>
        </w:rPr>
      </w:pPr>
    </w:p>
    <w:p>
      <w:pPr>
        <w:spacing w:before="92" w:line="221" w:lineRule="auto"/>
        <w:ind w:left="597"/>
        <w:rPr>
          <w:rFonts w:ascii="FangSong" w:hAnsi="FangSong" w:eastAsia="FangSong" w:cs="FangSong"/>
          <w:sz w:val="28"/>
          <w:szCs w:val="28"/>
        </w:rPr>
      </w:pPr>
      <w:r>
        <w:rPr>
          <w:rFonts w:ascii="FangSong" w:hAnsi="FangSong" w:eastAsia="FangSong" w:cs="FangSong"/>
          <w:spacing w:val="-2"/>
          <w:sz w:val="28"/>
          <w:szCs w:val="28"/>
          <w14:textOutline w14:w="5092" w14:cap="flat" w14:cmpd="sng">
            <w14:solidFill>
              <w14:srgbClr w14:val="000000"/>
            </w14:solidFill>
            <w14:prstDash w14:val="solid"/>
            <w14:miter w14:val="10"/>
          </w14:textOutline>
        </w:rPr>
        <w:t>第五条</w:t>
      </w:r>
      <w:r>
        <w:rPr>
          <w:rFonts w:hint="default" w:ascii="FangSong" w:hAnsi="FangSong" w:eastAsia="FangSong" w:cs="FangSong"/>
          <w:spacing w:val="-2"/>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2"/>
          <w:sz w:val="28"/>
          <w:szCs w:val="28"/>
        </w:rPr>
        <w:t>基金会</w:t>
      </w:r>
      <w:r>
        <w:rPr>
          <w:rFonts w:ascii="FangSong" w:hAnsi="FangSong" w:eastAsia="FangSong" w:cs="FangSong"/>
          <w:spacing w:val="-1"/>
          <w:sz w:val="28"/>
          <w:szCs w:val="28"/>
        </w:rPr>
        <w:t>资金保值增值投资的目标：</w:t>
      </w:r>
    </w:p>
    <w:p>
      <w:pPr>
        <w:spacing w:before="289" w:line="416" w:lineRule="auto"/>
        <w:ind w:left="52" w:right="216" w:firstLine="555"/>
        <w:rPr>
          <w:rFonts w:ascii="FangSong" w:hAnsi="FangSong" w:eastAsia="FangSong" w:cs="FangSong"/>
          <w:sz w:val="28"/>
          <w:szCs w:val="28"/>
        </w:rPr>
      </w:pPr>
      <w:r>
        <w:rPr>
          <w:rFonts w:ascii="FangSong" w:hAnsi="FangSong" w:eastAsia="FangSong" w:cs="FangSong"/>
          <w:spacing w:val="-1"/>
          <w:sz w:val="28"/>
          <w:szCs w:val="28"/>
        </w:rPr>
        <w:t>在遵守国家法律法规、基金会有关规章制度的前</w:t>
      </w:r>
      <w:r>
        <w:rPr>
          <w:rFonts w:ascii="FangSong" w:hAnsi="FangSong" w:eastAsia="FangSong" w:cs="FangSong"/>
          <w:sz w:val="28"/>
          <w:szCs w:val="28"/>
        </w:rPr>
        <w:t>提下，在确保</w:t>
      </w:r>
      <w:r>
        <w:rPr>
          <w:rFonts w:ascii="FangSong" w:hAnsi="FangSong" w:eastAsia="FangSong" w:cs="FangSong"/>
          <w:spacing w:val="-1"/>
          <w:sz w:val="28"/>
          <w:szCs w:val="28"/>
        </w:rPr>
        <w:t>年度慈善活动支出符合法定要求和捐赠财产及时足额拨</w:t>
      </w:r>
      <w:r>
        <w:rPr>
          <w:rFonts w:ascii="FangSong" w:hAnsi="FangSong" w:eastAsia="FangSong" w:cs="FangSong"/>
          <w:sz w:val="28"/>
          <w:szCs w:val="28"/>
        </w:rPr>
        <w:t>付的前提</w:t>
      </w:r>
    </w:p>
    <w:p>
      <w:pPr>
        <w:sectPr>
          <w:headerReference r:id="rId5" w:type="default"/>
          <w:footerReference r:id="rId6" w:type="default"/>
          <w:pgSz w:w="11907" w:h="16839"/>
          <w:pgMar w:top="1214" w:right="1771" w:bottom="1665" w:left="1771" w:header="516" w:footer="1424" w:gutter="0"/>
          <w:cols w:space="720" w:num="1"/>
        </w:sectPr>
      </w:pPr>
    </w:p>
    <w:p>
      <w:pPr>
        <w:spacing w:line="305" w:lineRule="auto"/>
        <w:rPr>
          <w:rFonts w:ascii="Arial"/>
          <w:sz w:val="21"/>
        </w:rPr>
      </w:pPr>
    </w:p>
    <w:p>
      <w:pPr>
        <w:spacing w:before="91" w:line="411" w:lineRule="auto"/>
        <w:ind w:left="95" w:right="216" w:hanging="43"/>
        <w:rPr>
          <w:rFonts w:ascii="FangSong" w:hAnsi="FangSong" w:eastAsia="FangSong" w:cs="FangSong"/>
          <w:sz w:val="28"/>
          <w:szCs w:val="28"/>
        </w:rPr>
      </w:pPr>
      <w:r>
        <w:rPr>
          <w:rFonts w:ascii="FangSong" w:hAnsi="FangSong" w:eastAsia="FangSong" w:cs="FangSong"/>
          <w:spacing w:val="-10"/>
          <w:sz w:val="28"/>
          <w:szCs w:val="28"/>
        </w:rPr>
        <w:t>下，适</w:t>
      </w:r>
      <w:r>
        <w:rPr>
          <w:rFonts w:ascii="FangSong" w:hAnsi="FangSong" w:eastAsia="FangSong" w:cs="FangSong"/>
          <w:spacing w:val="-5"/>
          <w:sz w:val="28"/>
          <w:szCs w:val="28"/>
        </w:rPr>
        <w:t>度分散风险、审慎管理，力争实现保值增值投资的年度收益</w:t>
      </w:r>
      <w:r>
        <w:rPr>
          <w:rFonts w:ascii="FangSong" w:hAnsi="FangSong" w:eastAsia="FangSong" w:cs="FangSong"/>
          <w:spacing w:val="-23"/>
          <w:sz w:val="28"/>
          <w:szCs w:val="28"/>
        </w:rPr>
        <w:t>目</w:t>
      </w:r>
      <w:r>
        <w:rPr>
          <w:rFonts w:ascii="FangSong" w:hAnsi="FangSong" w:eastAsia="FangSong" w:cs="FangSong"/>
          <w:spacing w:val="-22"/>
          <w:sz w:val="28"/>
          <w:szCs w:val="28"/>
        </w:rPr>
        <w:t>标。</w:t>
      </w:r>
    </w:p>
    <w:p>
      <w:pPr>
        <w:spacing w:line="221" w:lineRule="auto"/>
        <w:ind w:left="597"/>
        <w:rPr>
          <w:rFonts w:ascii="FangSong" w:hAnsi="FangSong" w:eastAsia="FangSong" w:cs="FangSong"/>
          <w:sz w:val="28"/>
          <w:szCs w:val="28"/>
        </w:rPr>
      </w:pPr>
      <w:r>
        <w:rPr>
          <w:rFonts w:ascii="FangSong" w:hAnsi="FangSong" w:eastAsia="FangSong" w:cs="FangSong"/>
          <w:spacing w:val="-2"/>
          <w:sz w:val="28"/>
          <w:szCs w:val="28"/>
          <w14:textOutline w14:w="5092" w14:cap="flat" w14:cmpd="sng">
            <w14:solidFill>
              <w14:srgbClr w14:val="000000"/>
            </w14:solidFill>
            <w14:prstDash w14:val="solid"/>
            <w14:miter w14:val="10"/>
          </w14:textOutline>
        </w:rPr>
        <w:t>第六条</w:t>
      </w:r>
      <w:r>
        <w:rPr>
          <w:rFonts w:hint="default" w:ascii="FangSong" w:hAnsi="FangSong" w:eastAsia="FangSong" w:cs="FangSong"/>
          <w:spacing w:val="-2"/>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2"/>
          <w:sz w:val="28"/>
          <w:szCs w:val="28"/>
        </w:rPr>
        <w:t>基</w:t>
      </w:r>
      <w:r>
        <w:rPr>
          <w:rFonts w:ascii="FangSong" w:hAnsi="FangSong" w:eastAsia="FangSong" w:cs="FangSong"/>
          <w:spacing w:val="-1"/>
          <w:sz w:val="28"/>
          <w:szCs w:val="28"/>
        </w:rPr>
        <w:t>金会保值增值投资活动的基本原则：</w:t>
      </w:r>
    </w:p>
    <w:p>
      <w:pPr>
        <w:spacing w:before="291" w:line="411" w:lineRule="auto"/>
        <w:ind w:left="45" w:right="216" w:firstLine="539"/>
        <w:rPr>
          <w:rFonts w:ascii="FangSong" w:hAnsi="FangSong" w:eastAsia="FangSong" w:cs="FangSong"/>
          <w:sz w:val="28"/>
          <w:szCs w:val="28"/>
        </w:rPr>
      </w:pPr>
      <w:r>
        <w:rPr>
          <w:rFonts w:ascii="FangSong" w:hAnsi="FangSong" w:eastAsia="FangSong" w:cs="FangSong"/>
          <w:spacing w:val="-1"/>
          <w:sz w:val="28"/>
          <w:szCs w:val="28"/>
        </w:rPr>
        <w:t>(一)“合规经营、防范风险”原则。基</w:t>
      </w:r>
      <w:r>
        <w:rPr>
          <w:rFonts w:ascii="FangSong" w:hAnsi="FangSong" w:eastAsia="FangSong" w:cs="FangSong"/>
          <w:sz w:val="28"/>
          <w:szCs w:val="28"/>
        </w:rPr>
        <w:t>金会须密切关注相关</w:t>
      </w:r>
      <w:r>
        <w:rPr>
          <w:rFonts w:ascii="FangSong" w:hAnsi="FangSong" w:eastAsia="FangSong" w:cs="FangSong"/>
          <w:spacing w:val="-1"/>
          <w:sz w:val="28"/>
          <w:szCs w:val="28"/>
        </w:rPr>
        <w:t>法律法规及监管政策的变化，资金投资须符</w:t>
      </w:r>
      <w:r>
        <w:rPr>
          <w:rFonts w:ascii="FangSong" w:hAnsi="FangSong" w:eastAsia="FangSong" w:cs="FangSong"/>
          <w:sz w:val="28"/>
          <w:szCs w:val="28"/>
        </w:rPr>
        <w:t>合国家政策导向及法律</w:t>
      </w:r>
      <w:r>
        <w:rPr>
          <w:rFonts w:ascii="FangSong" w:hAnsi="FangSong" w:eastAsia="FangSong" w:cs="FangSong"/>
          <w:spacing w:val="-1"/>
          <w:sz w:val="28"/>
          <w:szCs w:val="28"/>
        </w:rPr>
        <w:t>法规规定和监管要求，投资程序严谨，所有</w:t>
      </w:r>
      <w:r>
        <w:rPr>
          <w:rFonts w:ascii="FangSong" w:hAnsi="FangSong" w:eastAsia="FangSong" w:cs="FangSong"/>
          <w:sz w:val="28"/>
          <w:szCs w:val="28"/>
        </w:rPr>
        <w:t>投资均有相应的收益分</w:t>
      </w:r>
      <w:r>
        <w:rPr>
          <w:rFonts w:ascii="FangSong" w:hAnsi="FangSong" w:eastAsia="FangSong" w:cs="FangSong"/>
          <w:spacing w:val="-1"/>
          <w:sz w:val="28"/>
          <w:szCs w:val="28"/>
        </w:rPr>
        <w:t>析和风险评估。投资取得的收益全部用于基</w:t>
      </w:r>
      <w:r>
        <w:rPr>
          <w:rFonts w:ascii="FangSong" w:hAnsi="FangSong" w:eastAsia="FangSong" w:cs="FangSong"/>
          <w:sz w:val="28"/>
          <w:szCs w:val="28"/>
        </w:rPr>
        <w:t>金会章程规定的慈善目</w:t>
      </w:r>
      <w:r>
        <w:rPr>
          <w:rFonts w:ascii="FangSong" w:hAnsi="FangSong" w:eastAsia="FangSong" w:cs="FangSong"/>
          <w:spacing w:val="-9"/>
          <w:sz w:val="28"/>
          <w:szCs w:val="28"/>
        </w:rPr>
        <w:t>的</w:t>
      </w:r>
      <w:r>
        <w:rPr>
          <w:rFonts w:ascii="FangSong" w:hAnsi="FangSong" w:eastAsia="FangSong" w:cs="FangSong"/>
          <w:spacing w:val="-8"/>
          <w:sz w:val="28"/>
          <w:szCs w:val="28"/>
        </w:rPr>
        <w:t>。</w:t>
      </w:r>
    </w:p>
    <w:p>
      <w:pPr>
        <w:spacing w:before="1" w:line="411" w:lineRule="auto"/>
        <w:ind w:left="45" w:right="217" w:firstLine="539"/>
        <w:rPr>
          <w:rFonts w:ascii="FangSong" w:hAnsi="FangSong" w:eastAsia="FangSong" w:cs="FangSong"/>
          <w:sz w:val="28"/>
          <w:szCs w:val="28"/>
        </w:rPr>
      </w:pPr>
      <w:r>
        <w:rPr>
          <w:rFonts w:ascii="FangSong" w:hAnsi="FangSong" w:eastAsia="FangSong" w:cs="FangSong"/>
          <w:spacing w:val="-10"/>
          <w:sz w:val="28"/>
          <w:szCs w:val="28"/>
        </w:rPr>
        <w:t>(二</w:t>
      </w:r>
      <w:r>
        <w:rPr>
          <w:rFonts w:ascii="FangSong" w:hAnsi="FangSong" w:eastAsia="FangSong" w:cs="FangSong"/>
          <w:spacing w:val="-5"/>
          <w:sz w:val="28"/>
          <w:szCs w:val="28"/>
        </w:rPr>
        <w:t>)“安全性、流动性、收益性”原则。基金会资金投资须</w:t>
      </w:r>
      <w:r>
        <w:rPr>
          <w:rFonts w:ascii="FangSong" w:hAnsi="FangSong" w:eastAsia="FangSong" w:cs="FangSong"/>
          <w:spacing w:val="-10"/>
          <w:sz w:val="28"/>
          <w:szCs w:val="28"/>
        </w:rPr>
        <w:t>适</w:t>
      </w:r>
      <w:r>
        <w:rPr>
          <w:rFonts w:ascii="FangSong" w:hAnsi="FangSong" w:eastAsia="FangSong" w:cs="FangSong"/>
          <w:spacing w:val="-9"/>
          <w:sz w:val="28"/>
          <w:szCs w:val="28"/>
        </w:rPr>
        <w:t>当</w:t>
      </w:r>
      <w:r>
        <w:rPr>
          <w:rFonts w:ascii="FangSong" w:hAnsi="FangSong" w:eastAsia="FangSong" w:cs="FangSong"/>
          <w:spacing w:val="-5"/>
          <w:sz w:val="28"/>
          <w:szCs w:val="28"/>
        </w:rPr>
        <w:t>分散于不同周期、不同风险等级的投资产品中，平衡好投资风</w:t>
      </w:r>
      <w:r>
        <w:rPr>
          <w:rFonts w:ascii="FangSong" w:hAnsi="FangSong" w:eastAsia="FangSong" w:cs="FangSong"/>
          <w:spacing w:val="-2"/>
          <w:sz w:val="28"/>
          <w:szCs w:val="28"/>
        </w:rPr>
        <w:t>险和预期收益率</w:t>
      </w:r>
      <w:r>
        <w:rPr>
          <w:rFonts w:ascii="FangSong" w:hAnsi="FangSong" w:eastAsia="FangSong" w:cs="FangSong"/>
          <w:spacing w:val="-1"/>
          <w:sz w:val="28"/>
          <w:szCs w:val="28"/>
        </w:rPr>
        <w:t>。</w:t>
      </w:r>
    </w:p>
    <w:p>
      <w:pPr>
        <w:spacing w:before="2" w:line="416" w:lineRule="auto"/>
        <w:ind w:left="60" w:right="239" w:firstLine="522"/>
        <w:rPr>
          <w:rFonts w:ascii="FangSong" w:hAnsi="FangSong" w:eastAsia="FangSong" w:cs="FangSong"/>
          <w:sz w:val="28"/>
          <w:szCs w:val="28"/>
        </w:rPr>
      </w:pPr>
      <w:r>
        <w:rPr>
          <w:rFonts w:ascii="FangSong" w:hAnsi="FangSong" w:eastAsia="FangSong" w:cs="FangSong"/>
          <w:spacing w:val="-1"/>
          <w:sz w:val="28"/>
          <w:szCs w:val="28"/>
        </w:rPr>
        <w:t>(三)“加强风险管理”原则。定期和不</w:t>
      </w:r>
      <w:r>
        <w:rPr>
          <w:rFonts w:ascii="FangSong" w:hAnsi="FangSong" w:eastAsia="FangSong" w:cs="FangSong"/>
          <w:sz w:val="28"/>
          <w:szCs w:val="28"/>
        </w:rPr>
        <w:t>定期跟踪投资风险和</w:t>
      </w:r>
      <w:r>
        <w:rPr>
          <w:rFonts w:ascii="FangSong" w:hAnsi="FangSong" w:eastAsia="FangSong" w:cs="FangSong"/>
          <w:spacing w:val="-14"/>
          <w:sz w:val="28"/>
          <w:szCs w:val="28"/>
        </w:rPr>
        <w:t>收</w:t>
      </w:r>
      <w:r>
        <w:rPr>
          <w:rFonts w:ascii="FangSong" w:hAnsi="FangSong" w:eastAsia="FangSong" w:cs="FangSong"/>
          <w:spacing w:val="-13"/>
          <w:sz w:val="28"/>
          <w:szCs w:val="28"/>
        </w:rPr>
        <w:t>益</w:t>
      </w:r>
      <w:r>
        <w:rPr>
          <w:rFonts w:ascii="FangSong" w:hAnsi="FangSong" w:eastAsia="FangSong" w:cs="FangSong"/>
          <w:spacing w:val="-7"/>
          <w:sz w:val="28"/>
          <w:szCs w:val="28"/>
        </w:rPr>
        <w:t>波动情况，建立投资的预警机制和止损机制。</w:t>
      </w:r>
    </w:p>
    <w:p>
      <w:pPr>
        <w:spacing w:before="119" w:line="227" w:lineRule="auto"/>
        <w:ind w:left="2988"/>
        <w:rPr>
          <w:rFonts w:ascii="SimHei" w:hAnsi="SimHei" w:eastAsia="SimHei" w:cs="SimHei"/>
          <w:sz w:val="31"/>
          <w:szCs w:val="31"/>
        </w:rPr>
      </w:pPr>
      <w:r>
        <w:rPr>
          <w:rFonts w:ascii="SimHei" w:hAnsi="SimHei" w:eastAsia="SimHei" w:cs="SimHei"/>
          <w:spacing w:val="9"/>
          <w:sz w:val="31"/>
          <w:szCs w:val="31"/>
          <w14:textOutline w14:w="5791" w14:cap="flat" w14:cmpd="sng">
            <w14:solidFill>
              <w14:srgbClr w14:val="000000"/>
            </w14:solidFill>
            <w14:prstDash w14:val="solid"/>
            <w14:miter w14:val="10"/>
          </w14:textOutline>
        </w:rPr>
        <w:t>第三章投资范围</w:t>
      </w:r>
    </w:p>
    <w:p>
      <w:pPr>
        <w:spacing w:line="327" w:lineRule="auto"/>
        <w:rPr>
          <w:rFonts w:ascii="Arial"/>
          <w:sz w:val="21"/>
        </w:rPr>
      </w:pPr>
    </w:p>
    <w:p>
      <w:pPr>
        <w:spacing w:before="92" w:line="221" w:lineRule="auto"/>
        <w:ind w:left="597"/>
        <w:rPr>
          <w:rFonts w:ascii="FangSong" w:hAnsi="FangSong" w:eastAsia="FangSong" w:cs="FangSong"/>
          <w:sz w:val="28"/>
          <w:szCs w:val="28"/>
        </w:rPr>
      </w:pPr>
      <w:r>
        <w:rPr>
          <w:rFonts w:ascii="FangSong" w:hAnsi="FangSong" w:eastAsia="FangSong" w:cs="FangSong"/>
          <w:spacing w:val="-3"/>
          <w:sz w:val="28"/>
          <w:szCs w:val="28"/>
          <w14:textOutline w14:w="5092" w14:cap="flat" w14:cmpd="sng">
            <w14:solidFill>
              <w14:srgbClr w14:val="000000"/>
            </w14:solidFill>
            <w14:prstDash w14:val="solid"/>
            <w14:miter w14:val="10"/>
          </w14:textOutline>
        </w:rPr>
        <w:t>第七条</w:t>
      </w:r>
      <w:r>
        <w:rPr>
          <w:rFonts w:hint="default" w:ascii="FangSong" w:hAnsi="FangSong" w:eastAsia="FangSong" w:cs="FangSong"/>
          <w:spacing w:val="-3"/>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3"/>
          <w:sz w:val="28"/>
          <w:szCs w:val="28"/>
        </w:rPr>
        <w:t>基金会保值增值投资活动的范围主要包括</w:t>
      </w:r>
      <w:r>
        <w:rPr>
          <w:rFonts w:ascii="FangSong" w:hAnsi="FangSong" w:eastAsia="FangSong" w:cs="FangSong"/>
          <w:spacing w:val="-2"/>
          <w:sz w:val="28"/>
          <w:szCs w:val="28"/>
        </w:rPr>
        <w:t>：</w:t>
      </w:r>
    </w:p>
    <w:p>
      <w:pPr>
        <w:spacing w:before="290" w:line="411" w:lineRule="auto"/>
        <w:ind w:left="47" w:right="160" w:firstLine="578"/>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一</w:t>
      </w:r>
      <w:r>
        <w:rPr>
          <w:rFonts w:ascii="FangSong" w:hAnsi="FangSong" w:eastAsia="FangSong" w:cs="FangSong"/>
          <w:spacing w:val="-4"/>
          <w:sz w:val="28"/>
          <w:szCs w:val="28"/>
        </w:rPr>
        <w:t>)直接购买银行、信托、证券、基金、期货、保险资产管理</w:t>
      </w:r>
      <w:r>
        <w:rPr>
          <w:rFonts w:ascii="FangSong" w:hAnsi="FangSong" w:eastAsia="FangSong" w:cs="FangSong"/>
          <w:spacing w:val="-1"/>
          <w:sz w:val="28"/>
          <w:szCs w:val="28"/>
        </w:rPr>
        <w:t>机构、金融资产投资公司等金融机构发行的资</w:t>
      </w:r>
      <w:r>
        <w:rPr>
          <w:rFonts w:ascii="FangSong" w:hAnsi="FangSong" w:eastAsia="FangSong" w:cs="FangSong"/>
          <w:sz w:val="28"/>
          <w:szCs w:val="28"/>
        </w:rPr>
        <w:t>产管理产品，包括但</w:t>
      </w:r>
      <w:r>
        <w:rPr>
          <w:rFonts w:ascii="FangSong" w:hAnsi="FangSong" w:eastAsia="FangSong" w:cs="FangSong"/>
          <w:spacing w:val="-1"/>
          <w:sz w:val="28"/>
          <w:szCs w:val="28"/>
        </w:rPr>
        <w:t>不限于各类公募基金、货币基金及银行发行的理</w:t>
      </w:r>
      <w:r>
        <w:rPr>
          <w:rFonts w:ascii="FangSong" w:hAnsi="FangSong" w:eastAsia="FangSong" w:cs="FangSong"/>
          <w:sz w:val="28"/>
          <w:szCs w:val="28"/>
        </w:rPr>
        <w:t>财产品等；</w:t>
      </w:r>
    </w:p>
    <w:p>
      <w:pPr>
        <w:spacing w:before="2" w:line="417" w:lineRule="auto"/>
        <w:ind w:left="55" w:right="218" w:firstLine="570"/>
        <w:rPr>
          <w:rFonts w:ascii="FangSong" w:hAnsi="FangSong" w:eastAsia="FangSong" w:cs="FangSong"/>
          <w:sz w:val="28"/>
          <w:szCs w:val="28"/>
        </w:rPr>
      </w:pPr>
      <w:r>
        <w:rPr>
          <w:rFonts w:ascii="FangSong" w:hAnsi="FangSong" w:eastAsia="FangSong" w:cs="FangSong"/>
          <w:spacing w:val="-12"/>
          <w:sz w:val="28"/>
          <w:szCs w:val="28"/>
        </w:rPr>
        <w:t>(</w:t>
      </w:r>
      <w:r>
        <w:rPr>
          <w:rFonts w:ascii="FangSong" w:hAnsi="FangSong" w:eastAsia="FangSong" w:cs="FangSong"/>
          <w:spacing w:val="-7"/>
          <w:sz w:val="28"/>
          <w:szCs w:val="28"/>
        </w:rPr>
        <w:t>二</w:t>
      </w:r>
      <w:r>
        <w:rPr>
          <w:rFonts w:ascii="FangSong" w:hAnsi="FangSong" w:eastAsia="FangSong" w:cs="FangSong"/>
          <w:spacing w:val="-6"/>
          <w:sz w:val="28"/>
          <w:szCs w:val="28"/>
        </w:rPr>
        <w:t>)将财产委托给受金融监督管理部门监管的机构进行投资，</w:t>
      </w:r>
      <w:r>
        <w:rPr>
          <w:rFonts w:ascii="FangSong" w:hAnsi="FangSong" w:eastAsia="FangSong" w:cs="FangSong"/>
          <w:spacing w:val="-8"/>
          <w:sz w:val="28"/>
          <w:szCs w:val="28"/>
        </w:rPr>
        <w:t>主</w:t>
      </w:r>
      <w:r>
        <w:rPr>
          <w:rFonts w:ascii="FangSong" w:hAnsi="FangSong" w:eastAsia="FangSong" w:cs="FangSong"/>
          <w:spacing w:val="-5"/>
          <w:sz w:val="28"/>
          <w:szCs w:val="28"/>
        </w:rPr>
        <w:t>要</w:t>
      </w:r>
      <w:r>
        <w:rPr>
          <w:rFonts w:ascii="FangSong" w:hAnsi="FangSong" w:eastAsia="FangSong" w:cs="FangSong"/>
          <w:spacing w:val="-4"/>
          <w:sz w:val="28"/>
          <w:szCs w:val="28"/>
        </w:rPr>
        <w:t>是各类私募基金。</w:t>
      </w:r>
    </w:p>
    <w:p>
      <w:pPr>
        <w:sectPr>
          <w:footerReference r:id="rId7" w:type="default"/>
          <w:pgSz w:w="11907" w:h="16839"/>
          <w:pgMar w:top="1214" w:right="1771" w:bottom="1665" w:left="1771" w:header="516" w:footer="1424" w:gutter="0"/>
          <w:cols w:space="720" w:num="1"/>
        </w:sectPr>
      </w:pPr>
    </w:p>
    <w:p>
      <w:pPr>
        <w:spacing w:line="305" w:lineRule="auto"/>
        <w:rPr>
          <w:rFonts w:ascii="Arial"/>
          <w:sz w:val="21"/>
        </w:rPr>
      </w:pPr>
    </w:p>
    <w:p>
      <w:pPr>
        <w:spacing w:before="91" w:line="411" w:lineRule="auto"/>
        <w:ind w:left="52" w:right="93" w:firstLine="544"/>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第八条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基金会可以投资不动产或从事股权投资，但必须调研</w:t>
      </w:r>
      <w:r>
        <w:rPr>
          <w:rFonts w:ascii="FangSong" w:hAnsi="FangSong" w:eastAsia="FangSong" w:cs="FangSong"/>
          <w:sz w:val="28"/>
          <w:szCs w:val="28"/>
        </w:rPr>
        <w:t>评</w:t>
      </w:r>
      <w:r>
        <w:rPr>
          <w:rFonts w:ascii="FangSong" w:hAnsi="FangSong" w:eastAsia="FangSong" w:cs="FangSong"/>
          <w:spacing w:val="-4"/>
          <w:sz w:val="28"/>
          <w:szCs w:val="28"/>
        </w:rPr>
        <w:t>估该不动产</w:t>
      </w:r>
      <w:r>
        <w:rPr>
          <w:rFonts w:ascii="FangSong" w:hAnsi="FangSong" w:eastAsia="FangSong" w:cs="FangSong"/>
          <w:spacing w:val="-2"/>
          <w:sz w:val="28"/>
          <w:szCs w:val="28"/>
        </w:rPr>
        <w:t>或股权投资可行性和可变现性。</w:t>
      </w:r>
    </w:p>
    <w:p>
      <w:pPr>
        <w:spacing w:before="1" w:line="411" w:lineRule="auto"/>
        <w:ind w:left="56" w:right="93" w:firstLine="54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第九条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直接进行股权投资时，被投资方的经营范围应当与基</w:t>
      </w:r>
      <w:r>
        <w:rPr>
          <w:rFonts w:ascii="FangSong" w:hAnsi="FangSong" w:eastAsia="FangSong" w:cs="FangSong"/>
          <w:sz w:val="28"/>
          <w:szCs w:val="28"/>
        </w:rPr>
        <w:t>金</w:t>
      </w:r>
      <w:r>
        <w:rPr>
          <w:rFonts w:ascii="FangSong" w:hAnsi="FangSong" w:eastAsia="FangSong" w:cs="FangSong"/>
          <w:spacing w:val="-10"/>
          <w:sz w:val="28"/>
          <w:szCs w:val="28"/>
        </w:rPr>
        <w:t>会的宗</w:t>
      </w:r>
      <w:r>
        <w:rPr>
          <w:rFonts w:ascii="FangSong" w:hAnsi="FangSong" w:eastAsia="FangSong" w:cs="FangSong"/>
          <w:spacing w:val="-9"/>
          <w:sz w:val="28"/>
          <w:szCs w:val="28"/>
        </w:rPr>
        <w:t>旨</w:t>
      </w:r>
      <w:r>
        <w:rPr>
          <w:rFonts w:ascii="FangSong" w:hAnsi="FangSong" w:eastAsia="FangSong" w:cs="FangSong"/>
          <w:spacing w:val="-5"/>
          <w:sz w:val="28"/>
          <w:szCs w:val="28"/>
        </w:rPr>
        <w:t>和业务范围相关。如基金会选择需直接参与经营的股权投</w:t>
      </w:r>
      <w:r>
        <w:rPr>
          <w:rFonts w:ascii="FangSong" w:hAnsi="FangSong" w:eastAsia="FangSong" w:cs="FangSong"/>
          <w:spacing w:val="-2"/>
          <w:sz w:val="28"/>
          <w:szCs w:val="28"/>
        </w:rPr>
        <w:t>资活动</w:t>
      </w:r>
      <w:r>
        <w:rPr>
          <w:rFonts w:ascii="FangSong" w:hAnsi="FangSong" w:eastAsia="FangSong" w:cs="FangSong"/>
          <w:spacing w:val="-1"/>
          <w:sz w:val="28"/>
          <w:szCs w:val="28"/>
        </w:rPr>
        <w:t>，必须经理事会专项审议决议通过后方可执行。</w:t>
      </w:r>
    </w:p>
    <w:p>
      <w:pPr>
        <w:spacing w:line="221" w:lineRule="auto"/>
        <w:ind w:left="597"/>
        <w:rPr>
          <w:rFonts w:ascii="FangSong" w:hAnsi="FangSong" w:eastAsia="FangSong" w:cs="FangSong"/>
          <w:sz w:val="28"/>
          <w:szCs w:val="28"/>
        </w:rPr>
      </w:pPr>
      <w:r>
        <w:rPr>
          <w:rFonts w:ascii="FangSong" w:hAnsi="FangSong" w:eastAsia="FangSong" w:cs="FangSong"/>
          <w:spacing w:val="-3"/>
          <w:sz w:val="28"/>
          <w:szCs w:val="28"/>
          <w14:textOutline w14:w="5092" w14:cap="flat" w14:cmpd="sng">
            <w14:solidFill>
              <w14:srgbClr w14:val="000000"/>
            </w14:solidFill>
            <w14:prstDash w14:val="solid"/>
            <w14:miter w14:val="10"/>
          </w14:textOutline>
        </w:rPr>
        <w:t>第十条</w:t>
      </w:r>
      <w:r>
        <w:rPr>
          <w:rFonts w:hint="default" w:ascii="FangSong" w:hAnsi="FangSong" w:eastAsia="FangSong" w:cs="FangSong"/>
          <w:spacing w:val="-3"/>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3"/>
          <w:sz w:val="28"/>
          <w:szCs w:val="28"/>
        </w:rPr>
        <w:t>基金会的自有资金不得进行下列投资活动</w:t>
      </w:r>
      <w:r>
        <w:rPr>
          <w:rFonts w:ascii="FangSong" w:hAnsi="FangSong" w:eastAsia="FangSong" w:cs="FangSong"/>
          <w:spacing w:val="-2"/>
          <w:sz w:val="28"/>
          <w:szCs w:val="28"/>
        </w:rPr>
        <w:t>：</w:t>
      </w:r>
    </w:p>
    <w:p>
      <w:pPr>
        <w:spacing w:before="288" w:line="221" w:lineRule="auto"/>
        <w:ind w:left="625"/>
        <w:rPr>
          <w:rFonts w:ascii="FangSong" w:hAnsi="FangSong" w:eastAsia="FangSong" w:cs="FangSong"/>
          <w:sz w:val="28"/>
          <w:szCs w:val="28"/>
        </w:rPr>
      </w:pPr>
      <w:r>
        <w:rPr>
          <w:rFonts w:ascii="FangSong" w:hAnsi="FangSong" w:eastAsia="FangSong" w:cs="FangSong"/>
          <w:spacing w:val="-2"/>
          <w:sz w:val="28"/>
          <w:szCs w:val="28"/>
        </w:rPr>
        <w:t>(一)直接买卖股票、</w:t>
      </w:r>
      <w:r>
        <w:rPr>
          <w:rFonts w:ascii="FangSong" w:hAnsi="FangSong" w:eastAsia="FangSong" w:cs="FangSong"/>
          <w:spacing w:val="-1"/>
          <w:sz w:val="28"/>
          <w:szCs w:val="28"/>
        </w:rPr>
        <w:t>购买商品及金融衍生品类产品；</w:t>
      </w:r>
    </w:p>
    <w:p>
      <w:pPr>
        <w:spacing w:before="289" w:line="221" w:lineRule="auto"/>
        <w:ind w:left="626"/>
        <w:rPr>
          <w:rFonts w:ascii="FangSong" w:hAnsi="FangSong" w:eastAsia="FangSong" w:cs="FangSong"/>
          <w:sz w:val="28"/>
          <w:szCs w:val="28"/>
        </w:rPr>
      </w:pPr>
      <w:r>
        <w:rPr>
          <w:rFonts w:ascii="FangSong" w:hAnsi="FangSong" w:eastAsia="FangSong" w:cs="FangSong"/>
          <w:spacing w:val="-4"/>
          <w:sz w:val="28"/>
          <w:szCs w:val="28"/>
        </w:rPr>
        <w:t>(二)投</w:t>
      </w:r>
      <w:r>
        <w:rPr>
          <w:rFonts w:ascii="FangSong" w:hAnsi="FangSong" w:eastAsia="FangSong" w:cs="FangSong"/>
          <w:spacing w:val="-2"/>
          <w:sz w:val="28"/>
          <w:szCs w:val="28"/>
        </w:rPr>
        <w:t>资人身保险产品；</w:t>
      </w:r>
    </w:p>
    <w:p>
      <w:pPr>
        <w:spacing w:before="288" w:line="223" w:lineRule="auto"/>
        <w:ind w:left="626"/>
        <w:rPr>
          <w:rFonts w:ascii="FangSong" w:hAnsi="FangSong" w:eastAsia="FangSong" w:cs="FangSong"/>
          <w:sz w:val="28"/>
          <w:szCs w:val="28"/>
        </w:rPr>
      </w:pPr>
      <w:r>
        <w:rPr>
          <w:rFonts w:ascii="FangSong" w:hAnsi="FangSong" w:eastAsia="FangSong" w:cs="FangSong"/>
          <w:spacing w:val="-2"/>
          <w:sz w:val="28"/>
          <w:szCs w:val="28"/>
        </w:rPr>
        <w:t>(三)以投资名义向个人、企业直</w:t>
      </w:r>
      <w:r>
        <w:rPr>
          <w:rFonts w:ascii="FangSong" w:hAnsi="FangSong" w:eastAsia="FangSong" w:cs="FangSong"/>
          <w:spacing w:val="-1"/>
          <w:sz w:val="28"/>
          <w:szCs w:val="28"/>
        </w:rPr>
        <w:t>接提供贷款；</w:t>
      </w:r>
    </w:p>
    <w:p>
      <w:pPr>
        <w:spacing w:before="286" w:line="222" w:lineRule="auto"/>
        <w:ind w:left="626"/>
        <w:rPr>
          <w:rFonts w:ascii="FangSong" w:hAnsi="FangSong" w:eastAsia="FangSong" w:cs="FangSong"/>
          <w:sz w:val="28"/>
          <w:szCs w:val="28"/>
        </w:rPr>
      </w:pPr>
      <w:r>
        <w:rPr>
          <w:rFonts w:ascii="FangSong" w:hAnsi="FangSong" w:eastAsia="FangSong" w:cs="FangSong"/>
          <w:spacing w:val="-2"/>
          <w:sz w:val="28"/>
          <w:szCs w:val="28"/>
        </w:rPr>
        <w:t>(四)可能使基金会承担无限责</w:t>
      </w:r>
      <w:r>
        <w:rPr>
          <w:rFonts w:ascii="FangSong" w:hAnsi="FangSong" w:eastAsia="FangSong" w:cs="FangSong"/>
          <w:spacing w:val="-1"/>
          <w:sz w:val="28"/>
          <w:szCs w:val="28"/>
        </w:rPr>
        <w:t>任的投资；</w:t>
      </w:r>
    </w:p>
    <w:p>
      <w:pPr>
        <w:spacing w:before="288" w:line="411" w:lineRule="auto"/>
        <w:ind w:left="64" w:right="76" w:firstLine="561"/>
        <w:rPr>
          <w:rFonts w:ascii="FangSong" w:hAnsi="FangSong" w:eastAsia="FangSong" w:cs="FangSong"/>
          <w:sz w:val="28"/>
          <w:szCs w:val="28"/>
        </w:rPr>
      </w:pPr>
      <w:r>
        <w:rPr>
          <w:rFonts w:ascii="FangSong" w:hAnsi="FangSong" w:eastAsia="FangSong" w:cs="FangSong"/>
          <w:spacing w:val="-2"/>
          <w:sz w:val="28"/>
          <w:szCs w:val="28"/>
        </w:rPr>
        <w:t>(五)不符合国家产</w:t>
      </w:r>
      <w:r>
        <w:rPr>
          <w:rFonts w:ascii="FangSong" w:hAnsi="FangSong" w:eastAsia="FangSong" w:cs="FangSong"/>
          <w:spacing w:val="-1"/>
          <w:sz w:val="28"/>
          <w:szCs w:val="28"/>
        </w:rPr>
        <w:t>业政策的投资，以及违背本基金会宗旨，可</w:t>
      </w:r>
      <w:r>
        <w:rPr>
          <w:rFonts w:ascii="FangSong" w:hAnsi="FangSong" w:eastAsia="FangSong" w:cs="FangSong"/>
          <w:spacing w:val="-6"/>
          <w:sz w:val="28"/>
          <w:szCs w:val="28"/>
        </w:rPr>
        <w:t>能损</w:t>
      </w:r>
      <w:r>
        <w:rPr>
          <w:rFonts w:ascii="FangSong" w:hAnsi="FangSong" w:eastAsia="FangSong" w:cs="FangSong"/>
          <w:spacing w:val="-4"/>
          <w:sz w:val="28"/>
          <w:szCs w:val="28"/>
        </w:rPr>
        <w:t>害</w:t>
      </w:r>
      <w:r>
        <w:rPr>
          <w:rFonts w:ascii="FangSong" w:hAnsi="FangSong" w:eastAsia="FangSong" w:cs="FangSong"/>
          <w:spacing w:val="-3"/>
          <w:sz w:val="28"/>
          <w:szCs w:val="28"/>
        </w:rPr>
        <w:t>信誉的投资；</w:t>
      </w:r>
    </w:p>
    <w:p>
      <w:pPr>
        <w:spacing w:before="1" w:line="222" w:lineRule="auto"/>
        <w:ind w:left="625"/>
        <w:rPr>
          <w:rFonts w:ascii="FangSong" w:hAnsi="FangSong" w:eastAsia="FangSong" w:cs="FangSong"/>
          <w:sz w:val="28"/>
          <w:szCs w:val="28"/>
        </w:rPr>
      </w:pPr>
      <w:r>
        <w:rPr>
          <w:rFonts w:ascii="FangSong" w:hAnsi="FangSong" w:eastAsia="FangSong" w:cs="FangSong"/>
          <w:spacing w:val="-2"/>
          <w:sz w:val="28"/>
          <w:szCs w:val="28"/>
        </w:rPr>
        <w:t>(六)其他国家法律法规禁止的</w:t>
      </w:r>
      <w:r>
        <w:rPr>
          <w:rFonts w:ascii="FangSong" w:hAnsi="FangSong" w:eastAsia="FangSong" w:cs="FangSong"/>
          <w:spacing w:val="-1"/>
          <w:sz w:val="28"/>
          <w:szCs w:val="28"/>
        </w:rPr>
        <w:t>投资活动。</w:t>
      </w:r>
    </w:p>
    <w:p>
      <w:pPr>
        <w:spacing w:line="320" w:lineRule="auto"/>
        <w:rPr>
          <w:rFonts w:ascii="Arial"/>
          <w:sz w:val="21"/>
        </w:rPr>
      </w:pPr>
    </w:p>
    <w:p>
      <w:pPr>
        <w:spacing w:before="101" w:line="226" w:lineRule="auto"/>
        <w:ind w:left="2988"/>
        <w:rPr>
          <w:rFonts w:ascii="SimHei" w:hAnsi="SimHei" w:eastAsia="SimHei" w:cs="SimHei"/>
          <w:sz w:val="31"/>
          <w:szCs w:val="31"/>
        </w:rPr>
      </w:pPr>
      <w:r>
        <w:rPr>
          <w:rFonts w:ascii="SimHei" w:hAnsi="SimHei" w:eastAsia="SimHei" w:cs="SimHei"/>
          <w:spacing w:val="9"/>
          <w:sz w:val="31"/>
          <w:szCs w:val="31"/>
          <w14:textOutline w14:w="5791" w14:cap="flat" w14:cmpd="sng">
            <w14:solidFill>
              <w14:srgbClr w14:val="000000"/>
            </w14:solidFill>
            <w14:prstDash w14:val="solid"/>
            <w14:miter w14:val="10"/>
          </w14:textOutline>
        </w:rPr>
        <w:t>第四章职责分工</w:t>
      </w:r>
    </w:p>
    <w:p>
      <w:pPr>
        <w:spacing w:line="330" w:lineRule="auto"/>
        <w:rPr>
          <w:rFonts w:ascii="Arial"/>
          <w:sz w:val="21"/>
        </w:rPr>
      </w:pPr>
    </w:p>
    <w:p>
      <w:pPr>
        <w:spacing w:before="91" w:line="411" w:lineRule="auto"/>
        <w:ind w:left="46" w:right="91" w:firstLine="55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第十一条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理事会是基金会的最高投资决策机构，负责制</w:t>
      </w:r>
      <w:r>
        <w:rPr>
          <w:rFonts w:ascii="FangSong" w:hAnsi="FangSong" w:eastAsia="FangSong" w:cs="FangSong"/>
          <w:sz w:val="28"/>
          <w:szCs w:val="28"/>
        </w:rPr>
        <w:t>订投资</w:t>
      </w:r>
      <w:r>
        <w:rPr>
          <w:rFonts w:ascii="FangSong" w:hAnsi="FangSong" w:eastAsia="FangSong" w:cs="FangSong"/>
          <w:spacing w:val="-10"/>
          <w:sz w:val="28"/>
          <w:szCs w:val="28"/>
        </w:rPr>
        <w:t>战</w:t>
      </w:r>
      <w:r>
        <w:rPr>
          <w:rFonts w:ascii="FangSong" w:hAnsi="FangSong" w:eastAsia="FangSong" w:cs="FangSong"/>
          <w:spacing w:val="-5"/>
          <w:sz w:val="28"/>
          <w:szCs w:val="28"/>
        </w:rPr>
        <w:t>略。理事会设投资管理委员会(以下简称“投委会”)，由理事会</w:t>
      </w:r>
      <w:r>
        <w:rPr>
          <w:rFonts w:ascii="FangSong" w:hAnsi="FangSong" w:eastAsia="FangSong" w:cs="FangSong"/>
          <w:spacing w:val="-18"/>
          <w:sz w:val="28"/>
          <w:szCs w:val="28"/>
        </w:rPr>
        <w:t>授权</w:t>
      </w:r>
      <w:r>
        <w:rPr>
          <w:rFonts w:ascii="FangSong" w:hAnsi="FangSong" w:eastAsia="FangSong" w:cs="FangSong"/>
          <w:spacing w:val="-12"/>
          <w:sz w:val="28"/>
          <w:szCs w:val="28"/>
        </w:rPr>
        <w:t>制</w:t>
      </w:r>
      <w:r>
        <w:rPr>
          <w:rFonts w:ascii="FangSong" w:hAnsi="FangSong" w:eastAsia="FangSong" w:cs="FangSong"/>
          <w:spacing w:val="-9"/>
          <w:sz w:val="28"/>
          <w:szCs w:val="28"/>
        </w:rPr>
        <w:t>订年度投资计划、开展投资活动决策，秘书处综合管理部执</w:t>
      </w:r>
      <w:r>
        <w:rPr>
          <w:rFonts w:ascii="FangSong" w:hAnsi="FangSong" w:eastAsia="FangSong" w:cs="FangSong"/>
          <w:spacing w:val="-3"/>
          <w:sz w:val="28"/>
          <w:szCs w:val="28"/>
        </w:rPr>
        <w:t>行投资决策。</w:t>
      </w:r>
    </w:p>
    <w:p>
      <w:pPr>
        <w:spacing w:before="2" w:line="219" w:lineRule="auto"/>
        <w:ind w:left="597"/>
        <w:rPr>
          <w:rFonts w:ascii="FangSong" w:hAnsi="FangSong" w:eastAsia="FangSong" w:cs="FangSong"/>
          <w:sz w:val="28"/>
          <w:szCs w:val="28"/>
        </w:rPr>
      </w:pPr>
      <w:r>
        <w:rPr>
          <w:rFonts w:ascii="FangSong" w:hAnsi="FangSong" w:eastAsia="FangSong" w:cs="FangSong"/>
          <w:spacing w:val="-4"/>
          <w:sz w:val="28"/>
          <w:szCs w:val="28"/>
          <w14:textOutline w14:w="5092" w14:cap="flat" w14:cmpd="sng">
            <w14:solidFill>
              <w14:srgbClr w14:val="000000"/>
            </w14:solidFill>
            <w14:prstDash w14:val="solid"/>
            <w14:miter w14:val="10"/>
          </w14:textOutline>
        </w:rPr>
        <w:t>第十二条</w:t>
      </w:r>
      <w:r>
        <w:rPr>
          <w:rFonts w:hint="default" w:ascii="FangSong" w:hAnsi="FangSong" w:eastAsia="FangSong" w:cs="FangSong"/>
          <w:spacing w:val="-4"/>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4"/>
          <w:sz w:val="28"/>
          <w:szCs w:val="28"/>
        </w:rPr>
        <w:t>理事会在资</w:t>
      </w:r>
      <w:r>
        <w:rPr>
          <w:rFonts w:ascii="FangSong" w:hAnsi="FangSong" w:eastAsia="FangSong" w:cs="FangSong"/>
          <w:spacing w:val="-2"/>
          <w:sz w:val="28"/>
          <w:szCs w:val="28"/>
        </w:rPr>
        <w:t>金保值增值投资活动中的职责：</w:t>
      </w:r>
    </w:p>
    <w:p>
      <w:pPr>
        <w:spacing w:before="290" w:line="223" w:lineRule="auto"/>
        <w:ind w:left="625"/>
        <w:rPr>
          <w:rFonts w:ascii="FangSong" w:hAnsi="FangSong" w:eastAsia="FangSong" w:cs="FangSong"/>
          <w:sz w:val="28"/>
          <w:szCs w:val="28"/>
        </w:rPr>
      </w:pPr>
      <w:r>
        <w:rPr>
          <w:rFonts w:ascii="FangSong" w:hAnsi="FangSong" w:eastAsia="FangSong" w:cs="FangSong"/>
          <w:spacing w:val="-6"/>
          <w:sz w:val="28"/>
          <w:szCs w:val="28"/>
        </w:rPr>
        <w:t>(一)</w:t>
      </w:r>
      <w:r>
        <w:rPr>
          <w:rFonts w:ascii="FangSong" w:hAnsi="FangSong" w:eastAsia="FangSong" w:cs="FangSong"/>
          <w:spacing w:val="-3"/>
          <w:sz w:val="28"/>
          <w:szCs w:val="28"/>
        </w:rPr>
        <w:t>聘任、解聘投委会的成员；</w:t>
      </w:r>
    </w:p>
    <w:p>
      <w:pPr>
        <w:spacing w:before="286" w:line="222" w:lineRule="auto"/>
        <w:ind w:left="625"/>
        <w:rPr>
          <w:rFonts w:ascii="FangSong" w:hAnsi="FangSong" w:eastAsia="FangSong" w:cs="FangSong"/>
          <w:sz w:val="28"/>
          <w:szCs w:val="28"/>
        </w:rPr>
      </w:pPr>
      <w:r>
        <w:rPr>
          <w:rFonts w:ascii="FangSong" w:hAnsi="FangSong" w:eastAsia="FangSong" w:cs="FangSong"/>
          <w:spacing w:val="-6"/>
          <w:sz w:val="28"/>
          <w:szCs w:val="28"/>
        </w:rPr>
        <w:t>(二)</w:t>
      </w:r>
      <w:r>
        <w:rPr>
          <w:rFonts w:ascii="FangSong" w:hAnsi="FangSong" w:eastAsia="FangSong" w:cs="FangSong"/>
          <w:spacing w:val="-5"/>
          <w:sz w:val="28"/>
          <w:szCs w:val="28"/>
        </w:rPr>
        <w:t>审</w:t>
      </w:r>
      <w:r>
        <w:rPr>
          <w:rFonts w:ascii="FangSong" w:hAnsi="FangSong" w:eastAsia="FangSong" w:cs="FangSong"/>
          <w:spacing w:val="-3"/>
          <w:sz w:val="28"/>
          <w:szCs w:val="28"/>
        </w:rPr>
        <w:t>批基金会投资管理方面的制度、规范等；</w:t>
      </w:r>
    </w:p>
    <w:p>
      <w:pPr>
        <w:sectPr>
          <w:footerReference r:id="rId8" w:type="default"/>
          <w:pgSz w:w="11907" w:h="16839"/>
          <w:pgMar w:top="1214" w:right="1771" w:bottom="1665" w:left="1771" w:header="516" w:footer="1424" w:gutter="0"/>
          <w:cols w:space="720" w:num="1"/>
        </w:sectPr>
      </w:pPr>
    </w:p>
    <w:p>
      <w:pPr>
        <w:spacing w:line="304" w:lineRule="auto"/>
        <w:rPr>
          <w:rFonts w:ascii="Arial"/>
          <w:sz w:val="21"/>
        </w:rPr>
      </w:pPr>
    </w:p>
    <w:p>
      <w:pPr>
        <w:spacing w:before="91" w:line="223" w:lineRule="auto"/>
        <w:ind w:left="625"/>
        <w:rPr>
          <w:rFonts w:ascii="FangSong" w:hAnsi="FangSong" w:eastAsia="FangSong" w:cs="FangSong"/>
          <w:sz w:val="28"/>
          <w:szCs w:val="28"/>
        </w:rPr>
      </w:pPr>
      <w:r>
        <w:rPr>
          <w:rFonts w:ascii="FangSong" w:hAnsi="FangSong" w:eastAsia="FangSong" w:cs="FangSong"/>
          <w:spacing w:val="-6"/>
          <w:sz w:val="28"/>
          <w:szCs w:val="28"/>
        </w:rPr>
        <w:t>(</w:t>
      </w:r>
      <w:r>
        <w:rPr>
          <w:rFonts w:ascii="FangSong" w:hAnsi="FangSong" w:eastAsia="FangSong" w:cs="FangSong"/>
          <w:spacing w:val="-5"/>
          <w:sz w:val="28"/>
          <w:szCs w:val="28"/>
        </w:rPr>
        <w:t>三)确定投资战略；</w:t>
      </w:r>
    </w:p>
    <w:p>
      <w:pPr>
        <w:spacing w:before="286" w:line="221" w:lineRule="auto"/>
        <w:ind w:left="625"/>
        <w:rPr>
          <w:rFonts w:ascii="FangSong" w:hAnsi="FangSong" w:eastAsia="FangSong" w:cs="FangSong"/>
          <w:sz w:val="28"/>
          <w:szCs w:val="28"/>
        </w:rPr>
      </w:pPr>
      <w:r>
        <w:rPr>
          <w:rFonts w:ascii="FangSong" w:hAnsi="FangSong" w:eastAsia="FangSong" w:cs="FangSong"/>
          <w:spacing w:val="-8"/>
          <w:sz w:val="28"/>
          <w:szCs w:val="28"/>
        </w:rPr>
        <w:t>(四</w:t>
      </w:r>
      <w:r>
        <w:rPr>
          <w:rFonts w:ascii="FangSong" w:hAnsi="FangSong" w:eastAsia="FangSong" w:cs="FangSong"/>
          <w:spacing w:val="-5"/>
          <w:sz w:val="28"/>
          <w:szCs w:val="28"/>
        </w:rPr>
        <w:t>)</w:t>
      </w:r>
      <w:r>
        <w:rPr>
          <w:rFonts w:ascii="FangSong" w:hAnsi="FangSong" w:eastAsia="FangSong" w:cs="FangSong"/>
          <w:spacing w:val="-4"/>
          <w:sz w:val="28"/>
          <w:szCs w:val="28"/>
        </w:rPr>
        <w:t>审议、批准年度保值增值投资计划；</w:t>
      </w:r>
    </w:p>
    <w:p>
      <w:pPr>
        <w:spacing w:before="287" w:line="223" w:lineRule="auto"/>
        <w:ind w:left="625"/>
        <w:rPr>
          <w:rFonts w:ascii="FangSong" w:hAnsi="FangSong" w:eastAsia="FangSong" w:cs="FangSong"/>
          <w:sz w:val="28"/>
          <w:szCs w:val="28"/>
        </w:rPr>
      </w:pPr>
      <w:r>
        <w:rPr>
          <w:rFonts w:ascii="FangSong" w:hAnsi="FangSong" w:eastAsia="FangSong" w:cs="FangSong"/>
          <w:spacing w:val="-10"/>
          <w:sz w:val="28"/>
          <w:szCs w:val="28"/>
        </w:rPr>
        <w:t>(</w:t>
      </w:r>
      <w:r>
        <w:rPr>
          <w:rFonts w:ascii="FangSong" w:hAnsi="FangSong" w:eastAsia="FangSong" w:cs="FangSong"/>
          <w:spacing w:val="-7"/>
          <w:sz w:val="28"/>
          <w:szCs w:val="28"/>
        </w:rPr>
        <w:t>五</w:t>
      </w:r>
      <w:r>
        <w:rPr>
          <w:rFonts w:ascii="FangSong" w:hAnsi="FangSong" w:eastAsia="FangSong" w:cs="FangSong"/>
          <w:spacing w:val="-5"/>
          <w:sz w:val="28"/>
          <w:szCs w:val="28"/>
        </w:rPr>
        <w:t>)听取、审议投资管理报告；</w:t>
      </w:r>
    </w:p>
    <w:p>
      <w:pPr>
        <w:spacing w:before="287" w:line="411" w:lineRule="auto"/>
        <w:ind w:left="47" w:right="95" w:firstLine="578"/>
        <w:rPr>
          <w:rFonts w:ascii="FangSong" w:hAnsi="FangSong" w:eastAsia="FangSong" w:cs="FangSong"/>
          <w:sz w:val="28"/>
          <w:szCs w:val="28"/>
        </w:rPr>
      </w:pPr>
      <w:r>
        <w:rPr>
          <w:rFonts w:ascii="FangSong" w:hAnsi="FangSong" w:eastAsia="FangSong" w:cs="FangSong"/>
          <w:spacing w:val="-2"/>
          <w:sz w:val="28"/>
          <w:szCs w:val="28"/>
        </w:rPr>
        <w:t>(六)对重大投资中投资于一级市场上的股权类基金产品和直接股权投资进行决策；</w:t>
      </w:r>
    </w:p>
    <w:p>
      <w:pPr>
        <w:spacing w:line="221" w:lineRule="auto"/>
        <w:ind w:left="625"/>
        <w:rPr>
          <w:rFonts w:ascii="FangSong" w:hAnsi="FangSong" w:eastAsia="FangSong" w:cs="FangSong"/>
          <w:sz w:val="28"/>
          <w:szCs w:val="28"/>
        </w:rPr>
      </w:pPr>
      <w:r>
        <w:rPr>
          <w:rFonts w:ascii="FangSong" w:hAnsi="FangSong" w:eastAsia="FangSong" w:cs="FangSong"/>
          <w:spacing w:val="-14"/>
          <w:sz w:val="28"/>
          <w:szCs w:val="28"/>
        </w:rPr>
        <w:t>(</w:t>
      </w:r>
      <w:r>
        <w:rPr>
          <w:rFonts w:ascii="FangSong" w:hAnsi="FangSong" w:eastAsia="FangSong" w:cs="FangSong"/>
          <w:spacing w:val="-7"/>
          <w:sz w:val="28"/>
          <w:szCs w:val="28"/>
        </w:rPr>
        <w:t>七)特殊情况下，有权对所有投资行为进行最终决策。</w:t>
      </w:r>
    </w:p>
    <w:p>
      <w:pPr>
        <w:spacing w:before="290" w:line="411" w:lineRule="auto"/>
        <w:ind w:left="57" w:right="137" w:firstLine="539"/>
        <w:rPr>
          <w:rFonts w:ascii="FangSong" w:hAnsi="FangSong" w:eastAsia="FangSong" w:cs="FangSong"/>
          <w:sz w:val="28"/>
          <w:szCs w:val="28"/>
        </w:rPr>
      </w:pPr>
      <w:r>
        <w:rPr>
          <w:rFonts w:ascii="FangSong" w:hAnsi="FangSong" w:eastAsia="FangSong" w:cs="FangSong"/>
          <w:spacing w:val="-4"/>
          <w:sz w:val="28"/>
          <w:szCs w:val="28"/>
          <w14:textOutline w14:w="5092" w14:cap="flat" w14:cmpd="sng">
            <w14:solidFill>
              <w14:srgbClr w14:val="000000"/>
            </w14:solidFill>
            <w14:prstDash w14:val="solid"/>
            <w14:miter w14:val="10"/>
          </w14:textOutline>
        </w:rPr>
        <w:t>第</w:t>
      </w:r>
      <w:r>
        <w:rPr>
          <w:rFonts w:ascii="FangSong" w:hAnsi="FangSong" w:eastAsia="FangSong" w:cs="FangSong"/>
          <w:spacing w:val="-3"/>
          <w:sz w:val="28"/>
          <w:szCs w:val="28"/>
          <w14:textOutline w14:w="5092" w14:cap="flat" w14:cmpd="sng">
            <w14:solidFill>
              <w14:srgbClr w14:val="000000"/>
            </w14:solidFill>
            <w14:prstDash w14:val="solid"/>
            <w14:miter w14:val="10"/>
          </w14:textOutline>
        </w:rPr>
        <w:t>十三条</w:t>
      </w:r>
      <w:r>
        <w:rPr>
          <w:rFonts w:hint="default" w:ascii="FangSong" w:hAnsi="FangSong" w:eastAsia="FangSong" w:cs="FangSong"/>
          <w:spacing w:val="-3"/>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3"/>
          <w:sz w:val="28"/>
          <w:szCs w:val="28"/>
        </w:rPr>
        <w:t>投委会由</w:t>
      </w:r>
      <w:r>
        <w:rPr>
          <w:rFonts w:ascii="Times New Roman" w:hAnsi="Times New Roman" w:eastAsia="Times New Roman" w:cs="Times New Roman"/>
          <w:spacing w:val="-3"/>
          <w:sz w:val="28"/>
          <w:szCs w:val="28"/>
        </w:rPr>
        <w:t>3-5</w:t>
      </w:r>
      <w:r>
        <w:rPr>
          <w:rFonts w:ascii="FangSong" w:hAnsi="FangSong" w:eastAsia="FangSong" w:cs="FangSong"/>
          <w:spacing w:val="-3"/>
          <w:sz w:val="28"/>
          <w:szCs w:val="28"/>
        </w:rPr>
        <w:t>人组成，由理事会任命。投委会设主任</w:t>
      </w:r>
      <w:r>
        <w:rPr>
          <w:rFonts w:ascii="FangSong" w:hAnsi="FangSong" w:eastAsia="FangSong" w:cs="FangSong"/>
          <w:spacing w:val="-22"/>
          <w:sz w:val="28"/>
          <w:szCs w:val="28"/>
        </w:rPr>
        <w:t>委</w:t>
      </w:r>
      <w:r>
        <w:rPr>
          <w:rFonts w:ascii="FangSong" w:hAnsi="FangSong" w:eastAsia="FangSong" w:cs="FangSong"/>
          <w:spacing w:val="-13"/>
          <w:sz w:val="28"/>
          <w:szCs w:val="28"/>
        </w:rPr>
        <w:t>员</w:t>
      </w:r>
      <w:r>
        <w:rPr>
          <w:rFonts w:ascii="Times New Roman" w:hAnsi="Times New Roman" w:eastAsia="Times New Roman" w:cs="Times New Roman"/>
          <w:spacing w:val="-11"/>
          <w:sz w:val="28"/>
          <w:szCs w:val="28"/>
        </w:rPr>
        <w:t>1</w:t>
      </w:r>
      <w:r>
        <w:rPr>
          <w:rFonts w:ascii="FangSong" w:hAnsi="FangSong" w:eastAsia="FangSong" w:cs="FangSong"/>
          <w:spacing w:val="-11"/>
          <w:sz w:val="28"/>
          <w:szCs w:val="28"/>
        </w:rPr>
        <w:t>人，负责主持投委会工作；委员</w:t>
      </w:r>
      <w:r>
        <w:rPr>
          <w:rFonts w:ascii="Times New Roman" w:hAnsi="Times New Roman" w:eastAsia="Times New Roman" w:cs="Times New Roman"/>
          <w:spacing w:val="-11"/>
          <w:sz w:val="28"/>
          <w:szCs w:val="28"/>
        </w:rPr>
        <w:t>2-4</w:t>
      </w:r>
      <w:r>
        <w:rPr>
          <w:rFonts w:ascii="FangSong" w:hAnsi="FangSong" w:eastAsia="FangSong" w:cs="FangSong"/>
          <w:spacing w:val="-11"/>
          <w:sz w:val="28"/>
          <w:szCs w:val="28"/>
        </w:rPr>
        <w:t>人。</w:t>
      </w:r>
    </w:p>
    <w:p>
      <w:pPr>
        <w:spacing w:before="1" w:line="222" w:lineRule="auto"/>
        <w:ind w:left="597"/>
        <w:rPr>
          <w:rFonts w:ascii="FangSong" w:hAnsi="FangSong" w:eastAsia="FangSong" w:cs="FangSong"/>
          <w:sz w:val="28"/>
          <w:szCs w:val="28"/>
        </w:rPr>
      </w:pPr>
      <w:r>
        <w:rPr>
          <w:rFonts w:ascii="FangSong" w:hAnsi="FangSong" w:eastAsia="FangSong" w:cs="FangSong"/>
          <w:spacing w:val="-7"/>
          <w:sz w:val="28"/>
          <w:szCs w:val="28"/>
          <w14:textOutline w14:w="5092" w14:cap="flat" w14:cmpd="sng">
            <w14:solidFill>
              <w14:srgbClr w14:val="000000"/>
            </w14:solidFill>
            <w14:prstDash w14:val="solid"/>
            <w14:miter w14:val="10"/>
          </w14:textOutline>
        </w:rPr>
        <w:t>第</w:t>
      </w:r>
      <w:r>
        <w:rPr>
          <w:rFonts w:ascii="FangSong" w:hAnsi="FangSong" w:eastAsia="FangSong" w:cs="FangSong"/>
          <w:spacing w:val="-4"/>
          <w:sz w:val="28"/>
          <w:szCs w:val="28"/>
          <w14:textOutline w14:w="5092" w14:cap="flat" w14:cmpd="sng">
            <w14:solidFill>
              <w14:srgbClr w14:val="000000"/>
            </w14:solidFill>
            <w14:prstDash w14:val="solid"/>
            <w14:miter w14:val="10"/>
          </w14:textOutline>
        </w:rPr>
        <w:t>十四条</w:t>
      </w:r>
      <w:r>
        <w:rPr>
          <w:rFonts w:hint="default" w:ascii="FangSong" w:hAnsi="FangSong" w:eastAsia="FangSong" w:cs="FangSong"/>
          <w:spacing w:val="-4"/>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4"/>
          <w:sz w:val="28"/>
          <w:szCs w:val="28"/>
        </w:rPr>
        <w:t>投委会委员的任职资格：</w:t>
      </w:r>
    </w:p>
    <w:p>
      <w:pPr>
        <w:spacing w:before="286" w:line="221" w:lineRule="auto"/>
        <w:ind w:left="625"/>
        <w:rPr>
          <w:rFonts w:ascii="FangSong" w:hAnsi="FangSong" w:eastAsia="FangSong" w:cs="FangSong"/>
          <w:sz w:val="28"/>
          <w:szCs w:val="28"/>
        </w:rPr>
      </w:pPr>
      <w:r>
        <w:rPr>
          <w:rFonts w:ascii="FangSong" w:hAnsi="FangSong" w:eastAsia="FangSong" w:cs="FangSong"/>
          <w:spacing w:val="-22"/>
          <w:sz w:val="28"/>
          <w:szCs w:val="28"/>
        </w:rPr>
        <w:t>(</w:t>
      </w:r>
      <w:r>
        <w:rPr>
          <w:rFonts w:ascii="FangSong" w:hAnsi="FangSong" w:eastAsia="FangSong" w:cs="FangSong"/>
          <w:spacing w:val="-11"/>
          <w:sz w:val="28"/>
          <w:szCs w:val="28"/>
        </w:rPr>
        <w:t>一)从事财务或投资行业</w:t>
      </w:r>
      <w:r>
        <w:rPr>
          <w:rFonts w:ascii="Times New Roman" w:hAnsi="Times New Roman" w:eastAsia="Times New Roman" w:cs="Times New Roman"/>
          <w:spacing w:val="-11"/>
          <w:sz w:val="28"/>
          <w:szCs w:val="28"/>
        </w:rPr>
        <w:t>5</w:t>
      </w:r>
      <w:r>
        <w:rPr>
          <w:rFonts w:ascii="FangSong" w:hAnsi="FangSong" w:eastAsia="FangSong" w:cs="FangSong"/>
          <w:spacing w:val="-11"/>
          <w:sz w:val="28"/>
          <w:szCs w:val="28"/>
        </w:rPr>
        <w:t>年以上；</w:t>
      </w:r>
    </w:p>
    <w:p>
      <w:pPr>
        <w:spacing w:before="289" w:line="221" w:lineRule="auto"/>
        <w:ind w:left="625"/>
        <w:rPr>
          <w:rFonts w:ascii="FangSong" w:hAnsi="FangSong" w:eastAsia="FangSong" w:cs="FangSong"/>
          <w:sz w:val="28"/>
          <w:szCs w:val="28"/>
        </w:rPr>
      </w:pPr>
      <w:r>
        <w:rPr>
          <w:rFonts w:ascii="FangSong" w:hAnsi="FangSong" w:eastAsia="FangSong" w:cs="FangSong"/>
          <w:spacing w:val="-6"/>
          <w:sz w:val="28"/>
          <w:szCs w:val="28"/>
        </w:rPr>
        <w:t>(二)品行端正，满足《公司法》中担任公司董事的资格</w:t>
      </w:r>
      <w:r>
        <w:rPr>
          <w:rFonts w:ascii="FangSong" w:hAnsi="FangSong" w:eastAsia="FangSong" w:cs="FangSong"/>
          <w:spacing w:val="-5"/>
          <w:sz w:val="28"/>
          <w:szCs w:val="28"/>
        </w:rPr>
        <w:t>；</w:t>
      </w:r>
    </w:p>
    <w:p>
      <w:pPr>
        <w:spacing w:before="290" w:line="411" w:lineRule="auto"/>
        <w:ind w:left="64" w:right="160" w:firstLine="561"/>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三</w:t>
      </w:r>
      <w:r>
        <w:rPr>
          <w:rFonts w:ascii="FangSong" w:hAnsi="FangSong" w:eastAsia="FangSong" w:cs="FangSong"/>
          <w:spacing w:val="-4"/>
          <w:sz w:val="28"/>
          <w:szCs w:val="28"/>
        </w:rPr>
        <w:t>)具备股权投资、证券投资等金融及相关企业运营的专业技</w:t>
      </w:r>
      <w:r>
        <w:rPr>
          <w:rFonts w:ascii="FangSong" w:hAnsi="FangSong" w:eastAsia="FangSong" w:cs="FangSong"/>
          <w:spacing w:val="-18"/>
          <w:sz w:val="28"/>
          <w:szCs w:val="28"/>
        </w:rPr>
        <w:t>能。</w:t>
      </w:r>
    </w:p>
    <w:p>
      <w:pPr>
        <w:spacing w:before="1" w:line="222" w:lineRule="auto"/>
        <w:ind w:left="597"/>
        <w:rPr>
          <w:rFonts w:ascii="FangSong" w:hAnsi="FangSong" w:eastAsia="FangSong" w:cs="FangSong"/>
          <w:sz w:val="28"/>
          <w:szCs w:val="28"/>
        </w:rPr>
      </w:pPr>
      <w:r>
        <w:rPr>
          <w:rFonts w:ascii="FangSong" w:hAnsi="FangSong" w:eastAsia="FangSong" w:cs="FangSong"/>
          <w:spacing w:val="-2"/>
          <w:sz w:val="28"/>
          <w:szCs w:val="28"/>
          <w14:textOutline w14:w="5092" w14:cap="flat" w14:cmpd="sng">
            <w14:solidFill>
              <w14:srgbClr w14:val="000000"/>
            </w14:solidFill>
            <w14:prstDash w14:val="solid"/>
            <w14:miter w14:val="10"/>
          </w14:textOutline>
        </w:rPr>
        <w:t>第十五条</w:t>
      </w:r>
      <w:r>
        <w:rPr>
          <w:rFonts w:hint="default" w:ascii="FangSong" w:hAnsi="FangSong" w:eastAsia="FangSong" w:cs="FangSong"/>
          <w:spacing w:val="-2"/>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投委会委员任期与理事会理事任期一致。</w:t>
      </w:r>
    </w:p>
    <w:p>
      <w:pPr>
        <w:spacing w:before="287" w:line="411" w:lineRule="auto"/>
        <w:ind w:left="49" w:right="91" w:firstLine="547"/>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第十六条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投委会在理事会授权范围内开展投资活动，具</w:t>
      </w:r>
      <w:r>
        <w:rPr>
          <w:rFonts w:ascii="FangSong" w:hAnsi="FangSong" w:eastAsia="FangSong" w:cs="FangSong"/>
          <w:sz w:val="28"/>
          <w:szCs w:val="28"/>
        </w:rPr>
        <w:t>体职责</w:t>
      </w:r>
      <w:r>
        <w:rPr>
          <w:rFonts w:ascii="FangSong" w:hAnsi="FangSong" w:eastAsia="FangSong" w:cs="FangSong"/>
          <w:spacing w:val="-8"/>
          <w:sz w:val="28"/>
          <w:szCs w:val="28"/>
        </w:rPr>
        <w:t>如</w:t>
      </w:r>
      <w:r>
        <w:rPr>
          <w:rFonts w:ascii="FangSong" w:hAnsi="FangSong" w:eastAsia="FangSong" w:cs="FangSong"/>
          <w:spacing w:val="-6"/>
          <w:sz w:val="28"/>
          <w:szCs w:val="28"/>
        </w:rPr>
        <w:t>下：</w:t>
      </w:r>
    </w:p>
    <w:p>
      <w:pPr>
        <w:spacing w:before="2" w:line="411" w:lineRule="auto"/>
        <w:ind w:left="50" w:right="160" w:firstLine="574"/>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一</w:t>
      </w:r>
      <w:r>
        <w:rPr>
          <w:rFonts w:ascii="FangSong" w:hAnsi="FangSong" w:eastAsia="FangSong" w:cs="FangSong"/>
          <w:spacing w:val="-4"/>
          <w:sz w:val="28"/>
          <w:szCs w:val="28"/>
        </w:rPr>
        <w:t>)研究及编制保值增值投资活动有关的投资战略、规章制度</w:t>
      </w:r>
      <w:r>
        <w:rPr>
          <w:rFonts w:ascii="FangSong" w:hAnsi="FangSong" w:eastAsia="FangSong" w:cs="FangSong"/>
          <w:spacing w:val="-2"/>
          <w:sz w:val="28"/>
          <w:szCs w:val="28"/>
        </w:rPr>
        <w:t>及其它有</w:t>
      </w:r>
      <w:r>
        <w:rPr>
          <w:rFonts w:ascii="FangSong" w:hAnsi="FangSong" w:eastAsia="FangSong" w:cs="FangSong"/>
          <w:spacing w:val="-1"/>
          <w:sz w:val="28"/>
          <w:szCs w:val="28"/>
        </w:rPr>
        <w:t>关建议，提交理事会决策；</w:t>
      </w:r>
    </w:p>
    <w:p>
      <w:pPr>
        <w:spacing w:line="417" w:lineRule="auto"/>
        <w:ind w:left="47" w:right="160" w:firstLine="578"/>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二</w:t>
      </w:r>
      <w:r>
        <w:rPr>
          <w:rFonts w:ascii="FangSong" w:hAnsi="FangSong" w:eastAsia="FangSong" w:cs="FangSong"/>
          <w:spacing w:val="-4"/>
          <w:sz w:val="28"/>
          <w:szCs w:val="28"/>
        </w:rPr>
        <w:t>)制定年度保值增值投资计划和其他重大投资方案并提交理</w:t>
      </w:r>
      <w:r>
        <w:rPr>
          <w:rFonts w:ascii="FangSong" w:hAnsi="FangSong" w:eastAsia="FangSong" w:cs="FangSong"/>
          <w:spacing w:val="-5"/>
          <w:sz w:val="28"/>
          <w:szCs w:val="28"/>
        </w:rPr>
        <w:t>事</w:t>
      </w:r>
      <w:r>
        <w:rPr>
          <w:rFonts w:ascii="FangSong" w:hAnsi="FangSong" w:eastAsia="FangSong" w:cs="FangSong"/>
          <w:spacing w:val="-4"/>
          <w:sz w:val="28"/>
          <w:szCs w:val="28"/>
        </w:rPr>
        <w:t>会审议、批准；</w:t>
      </w:r>
    </w:p>
    <w:p>
      <w:pPr>
        <w:sectPr>
          <w:footerReference r:id="rId9" w:type="default"/>
          <w:pgSz w:w="11907" w:h="16839"/>
          <w:pgMar w:top="1214" w:right="1771" w:bottom="1665" w:left="1771" w:header="516" w:footer="1424" w:gutter="0"/>
          <w:cols w:space="720" w:num="1"/>
        </w:sectPr>
      </w:pPr>
    </w:p>
    <w:p>
      <w:pPr>
        <w:spacing w:line="306" w:lineRule="auto"/>
        <w:rPr>
          <w:rFonts w:ascii="Arial"/>
          <w:sz w:val="21"/>
        </w:rPr>
      </w:pPr>
    </w:p>
    <w:p>
      <w:pPr>
        <w:spacing w:before="91" w:line="411" w:lineRule="auto"/>
        <w:ind w:left="47" w:right="160" w:firstLine="578"/>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三</w:t>
      </w:r>
      <w:r>
        <w:rPr>
          <w:rFonts w:ascii="FangSong" w:hAnsi="FangSong" w:eastAsia="FangSong" w:cs="FangSong"/>
          <w:spacing w:val="-4"/>
          <w:sz w:val="28"/>
          <w:szCs w:val="28"/>
        </w:rPr>
        <w:t>)在理事会授权范围内，对非重大投资和重大投资中除一级</w:t>
      </w:r>
      <w:r>
        <w:rPr>
          <w:rFonts w:ascii="FangSong" w:hAnsi="FangSong" w:eastAsia="FangSong" w:cs="FangSong"/>
          <w:spacing w:val="-1"/>
          <w:sz w:val="28"/>
          <w:szCs w:val="28"/>
        </w:rPr>
        <w:t>市场上的股权类基金和直接股权投资外的投资</w:t>
      </w:r>
      <w:r>
        <w:rPr>
          <w:rFonts w:ascii="FangSong" w:hAnsi="FangSong" w:eastAsia="FangSong" w:cs="FangSong"/>
          <w:sz w:val="28"/>
          <w:szCs w:val="28"/>
        </w:rPr>
        <w:t>方案进行决策，并定</w:t>
      </w:r>
      <w:r>
        <w:rPr>
          <w:rFonts w:ascii="FangSong" w:hAnsi="FangSong" w:eastAsia="FangSong" w:cs="FangSong"/>
          <w:spacing w:val="-2"/>
          <w:sz w:val="28"/>
          <w:szCs w:val="28"/>
        </w:rPr>
        <w:t>期向理事</w:t>
      </w:r>
      <w:r>
        <w:rPr>
          <w:rFonts w:ascii="FangSong" w:hAnsi="FangSong" w:eastAsia="FangSong" w:cs="FangSong"/>
          <w:spacing w:val="-1"/>
          <w:sz w:val="28"/>
          <w:szCs w:val="28"/>
        </w:rPr>
        <w:t>会提交投资管理报告；</w:t>
      </w:r>
    </w:p>
    <w:p>
      <w:pPr>
        <w:spacing w:before="1" w:line="411" w:lineRule="auto"/>
        <w:ind w:left="46" w:right="160" w:firstLine="579"/>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四</w:t>
      </w:r>
      <w:r>
        <w:rPr>
          <w:rFonts w:ascii="FangSong" w:hAnsi="FangSong" w:eastAsia="FangSong" w:cs="FangSong"/>
          <w:spacing w:val="-4"/>
          <w:sz w:val="28"/>
          <w:szCs w:val="28"/>
        </w:rPr>
        <w:t>)适度分散，审慎投资，动态管理每年高、中、低风险产品</w:t>
      </w:r>
      <w:r>
        <w:rPr>
          <w:rFonts w:ascii="FangSong" w:hAnsi="FangSong" w:eastAsia="FangSong" w:cs="FangSong"/>
          <w:spacing w:val="-10"/>
          <w:sz w:val="28"/>
          <w:szCs w:val="28"/>
        </w:rPr>
        <w:t>投</w:t>
      </w:r>
      <w:r>
        <w:rPr>
          <w:rFonts w:ascii="FangSong" w:hAnsi="FangSong" w:eastAsia="FangSong" w:cs="FangSong"/>
          <w:spacing w:val="-7"/>
          <w:sz w:val="28"/>
          <w:szCs w:val="28"/>
        </w:rPr>
        <w:t>资</w:t>
      </w:r>
      <w:r>
        <w:rPr>
          <w:rFonts w:ascii="FangSong" w:hAnsi="FangSong" w:eastAsia="FangSong" w:cs="FangSong"/>
          <w:spacing w:val="-5"/>
          <w:sz w:val="28"/>
          <w:szCs w:val="28"/>
        </w:rPr>
        <w:t>额度及配置比例，控制投资风险，力争完成年度目标收益率；</w:t>
      </w:r>
    </w:p>
    <w:p>
      <w:pPr>
        <w:spacing w:line="222" w:lineRule="auto"/>
        <w:ind w:left="625"/>
        <w:rPr>
          <w:rFonts w:ascii="FangSong" w:hAnsi="FangSong" w:eastAsia="FangSong" w:cs="FangSong"/>
          <w:sz w:val="28"/>
          <w:szCs w:val="28"/>
        </w:rPr>
      </w:pPr>
      <w:r>
        <w:rPr>
          <w:rFonts w:ascii="FangSong" w:hAnsi="FangSong" w:eastAsia="FangSong" w:cs="FangSong"/>
          <w:spacing w:val="-10"/>
          <w:sz w:val="28"/>
          <w:szCs w:val="28"/>
        </w:rPr>
        <w:t>(</w:t>
      </w:r>
      <w:r>
        <w:rPr>
          <w:rFonts w:ascii="FangSong" w:hAnsi="FangSong" w:eastAsia="FangSong" w:cs="FangSong"/>
          <w:spacing w:val="-6"/>
          <w:sz w:val="28"/>
          <w:szCs w:val="28"/>
        </w:rPr>
        <w:t>五)理事会授权的有关投资活动的其他管理事务。</w:t>
      </w:r>
    </w:p>
    <w:p>
      <w:pPr>
        <w:spacing w:before="288" w:line="411" w:lineRule="auto"/>
        <w:ind w:left="46" w:right="91" w:firstLine="55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第十七条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秘书处综合管理部是基金会资金保值增值投资</w:t>
      </w:r>
      <w:r>
        <w:rPr>
          <w:rFonts w:ascii="FangSong" w:hAnsi="FangSong" w:eastAsia="FangSong" w:cs="FangSong"/>
          <w:sz w:val="28"/>
          <w:szCs w:val="28"/>
        </w:rPr>
        <w:t>活动的</w:t>
      </w:r>
      <w:r>
        <w:rPr>
          <w:rFonts w:ascii="FangSong" w:hAnsi="FangSong" w:eastAsia="FangSong" w:cs="FangSong"/>
          <w:spacing w:val="-8"/>
          <w:sz w:val="28"/>
          <w:szCs w:val="28"/>
        </w:rPr>
        <w:t>执行</w:t>
      </w:r>
      <w:r>
        <w:rPr>
          <w:rFonts w:ascii="FangSong" w:hAnsi="FangSong" w:eastAsia="FangSong" w:cs="FangSong"/>
          <w:spacing w:val="-4"/>
          <w:sz w:val="28"/>
          <w:szCs w:val="28"/>
        </w:rPr>
        <w:t>部门，具体职责：</w:t>
      </w:r>
    </w:p>
    <w:p>
      <w:pPr>
        <w:spacing w:line="221" w:lineRule="auto"/>
        <w:ind w:left="625"/>
        <w:rPr>
          <w:rFonts w:ascii="FangSong" w:hAnsi="FangSong" w:eastAsia="FangSong" w:cs="FangSong"/>
          <w:sz w:val="28"/>
          <w:szCs w:val="28"/>
        </w:rPr>
      </w:pPr>
      <w:r>
        <w:rPr>
          <w:rFonts w:ascii="FangSong" w:hAnsi="FangSong" w:eastAsia="FangSong" w:cs="FangSong"/>
          <w:spacing w:val="-12"/>
          <w:sz w:val="28"/>
          <w:szCs w:val="28"/>
        </w:rPr>
        <w:t>(</w:t>
      </w:r>
      <w:r>
        <w:rPr>
          <w:rFonts w:ascii="FangSong" w:hAnsi="FangSong" w:eastAsia="FangSong" w:cs="FangSong"/>
          <w:spacing w:val="-6"/>
          <w:sz w:val="28"/>
          <w:szCs w:val="28"/>
        </w:rPr>
        <w:t>一)按照投资决策执行具体投资计划；</w:t>
      </w:r>
    </w:p>
    <w:p>
      <w:pPr>
        <w:spacing w:before="287" w:line="221" w:lineRule="auto"/>
        <w:ind w:left="625"/>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5"/>
          <w:sz w:val="28"/>
          <w:szCs w:val="28"/>
        </w:rPr>
        <w:t>二</w:t>
      </w:r>
      <w:r>
        <w:rPr>
          <w:rFonts w:ascii="FangSong" w:hAnsi="FangSong" w:eastAsia="FangSong" w:cs="FangSong"/>
          <w:spacing w:val="-4"/>
          <w:sz w:val="28"/>
          <w:szCs w:val="28"/>
        </w:rPr>
        <w:t>)跟踪并反馈投资计划执行的具体情况，并提出投资建议；</w:t>
      </w:r>
    </w:p>
    <w:p>
      <w:pPr>
        <w:spacing w:before="289" w:line="416" w:lineRule="auto"/>
        <w:ind w:left="49" w:right="160" w:firstLine="575"/>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三</w:t>
      </w:r>
      <w:r>
        <w:rPr>
          <w:rFonts w:ascii="FangSong" w:hAnsi="FangSong" w:eastAsia="FangSong" w:cs="FangSong"/>
          <w:spacing w:val="-4"/>
          <w:sz w:val="28"/>
          <w:szCs w:val="28"/>
        </w:rPr>
        <w:t>)建立投资活动专项档案，完整保存投资的决策、执行、管</w:t>
      </w:r>
      <w:r>
        <w:rPr>
          <w:rFonts w:ascii="FangSong" w:hAnsi="FangSong" w:eastAsia="FangSong" w:cs="FangSong"/>
          <w:spacing w:val="-6"/>
          <w:sz w:val="28"/>
          <w:szCs w:val="28"/>
        </w:rPr>
        <w:t>理</w:t>
      </w:r>
      <w:r>
        <w:rPr>
          <w:rFonts w:ascii="FangSong" w:hAnsi="FangSong" w:eastAsia="FangSong" w:cs="FangSong"/>
          <w:spacing w:val="-3"/>
          <w:sz w:val="28"/>
          <w:szCs w:val="28"/>
        </w:rPr>
        <w:t>等资料。</w:t>
      </w:r>
    </w:p>
    <w:p>
      <w:pPr>
        <w:spacing w:before="122" w:line="226" w:lineRule="auto"/>
        <w:ind w:left="2465"/>
        <w:rPr>
          <w:rFonts w:ascii="SimHei" w:hAnsi="SimHei" w:eastAsia="SimHei" w:cs="SimHei"/>
          <w:sz w:val="31"/>
          <w:szCs w:val="31"/>
        </w:rPr>
      </w:pPr>
      <w:r>
        <w:rPr>
          <w:rFonts w:ascii="SimHei" w:hAnsi="SimHei" w:eastAsia="SimHei" w:cs="SimHei"/>
          <w:spacing w:val="10"/>
          <w:sz w:val="31"/>
          <w:szCs w:val="31"/>
          <w14:textOutline w14:w="5791" w14:cap="flat" w14:cmpd="sng">
            <w14:solidFill>
              <w14:srgbClr w14:val="000000"/>
            </w14:solidFill>
            <w14:prstDash w14:val="solid"/>
            <w14:miter w14:val="10"/>
          </w14:textOutline>
        </w:rPr>
        <w:t>第五章决策程序和管理流</w:t>
      </w:r>
      <w:r>
        <w:rPr>
          <w:rFonts w:ascii="SimHei" w:hAnsi="SimHei" w:eastAsia="SimHei" w:cs="SimHei"/>
          <w:spacing w:val="7"/>
          <w:sz w:val="31"/>
          <w:szCs w:val="31"/>
          <w14:textOutline w14:w="5791" w14:cap="flat" w14:cmpd="sng">
            <w14:solidFill>
              <w14:srgbClr w14:val="000000"/>
            </w14:solidFill>
            <w14:prstDash w14:val="solid"/>
            <w14:miter w14:val="10"/>
          </w14:textOutline>
        </w:rPr>
        <w:t>程</w:t>
      </w:r>
    </w:p>
    <w:p>
      <w:pPr>
        <w:spacing w:line="329" w:lineRule="auto"/>
        <w:rPr>
          <w:rFonts w:ascii="Arial"/>
          <w:sz w:val="21"/>
        </w:rPr>
      </w:pPr>
    </w:p>
    <w:p>
      <w:pPr>
        <w:spacing w:before="92" w:line="411" w:lineRule="auto"/>
        <w:ind w:left="46" w:right="91" w:firstLine="572"/>
        <w:rPr>
          <w:rFonts w:ascii="FangSong" w:hAnsi="FangSong" w:eastAsia="FangSong" w:cs="FangSong"/>
          <w:sz w:val="28"/>
          <w:szCs w:val="28"/>
        </w:rPr>
      </w:pPr>
      <w:r>
        <w:rPr>
          <w:rFonts w:ascii="FangSong" w:hAnsi="FangSong" w:eastAsia="FangSong" w:cs="FangSong"/>
          <w:spacing w:val="-2"/>
          <w:sz w:val="28"/>
          <w:szCs w:val="28"/>
          <w14:textOutline w14:w="5092" w14:cap="flat" w14:cmpd="sng">
            <w14:solidFill>
              <w14:srgbClr w14:val="000000"/>
            </w14:solidFill>
            <w14:prstDash w14:val="solid"/>
            <w14:miter w14:val="10"/>
          </w14:textOutline>
        </w:rPr>
        <w:t>第十八条</w:t>
      </w:r>
      <w:r>
        <w:rPr>
          <w:rFonts w:hint="default" w:ascii="FangSong" w:hAnsi="FangSong" w:eastAsia="FangSong" w:cs="FangSong"/>
          <w:spacing w:val="-2"/>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2"/>
          <w:sz w:val="28"/>
          <w:szCs w:val="28"/>
        </w:rPr>
        <w:t>理事会确定基金会的保值增值活</w:t>
      </w:r>
      <w:r>
        <w:rPr>
          <w:rFonts w:ascii="FangSong" w:hAnsi="FangSong" w:eastAsia="FangSong" w:cs="FangSong"/>
          <w:spacing w:val="-1"/>
          <w:sz w:val="28"/>
          <w:szCs w:val="28"/>
        </w:rPr>
        <w:t>动的战略目标，投委会根据投资战略，拟定年度投资计划和当年</w:t>
      </w:r>
      <w:r>
        <w:rPr>
          <w:rFonts w:ascii="FangSong" w:hAnsi="FangSong" w:eastAsia="FangSong" w:cs="FangSong"/>
          <w:sz w:val="28"/>
          <w:szCs w:val="28"/>
        </w:rPr>
        <w:t>的投资方案，提议年度</w:t>
      </w:r>
      <w:r>
        <w:rPr>
          <w:rFonts w:ascii="FangSong" w:hAnsi="FangSong" w:eastAsia="FangSong" w:cs="FangSong"/>
          <w:spacing w:val="-10"/>
          <w:sz w:val="28"/>
          <w:szCs w:val="28"/>
        </w:rPr>
        <w:t>投</w:t>
      </w:r>
      <w:r>
        <w:rPr>
          <w:rFonts w:ascii="FangSong" w:hAnsi="FangSong" w:eastAsia="FangSong" w:cs="FangSong"/>
          <w:spacing w:val="-7"/>
          <w:sz w:val="28"/>
          <w:szCs w:val="28"/>
        </w:rPr>
        <w:t>资结构及风险等级配置比例，报理事会审议。</w:t>
      </w:r>
    </w:p>
    <w:p>
      <w:pPr>
        <w:spacing w:before="5" w:line="413" w:lineRule="auto"/>
        <w:ind w:left="47" w:right="67" w:firstLine="571"/>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第十九条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理事会审议通过的年度投资方案中，如</w:t>
      </w:r>
      <w:r>
        <w:rPr>
          <w:rFonts w:ascii="FangSong" w:hAnsi="FangSong" w:eastAsia="FangSong" w:cs="FangSong"/>
          <w:sz w:val="28"/>
          <w:szCs w:val="28"/>
        </w:rPr>
        <w:t>为投资于一级</w:t>
      </w:r>
      <w:r>
        <w:rPr>
          <w:rFonts w:ascii="FangSong" w:hAnsi="FangSong" w:eastAsia="FangSong" w:cs="FangSong"/>
          <w:spacing w:val="-1"/>
          <w:sz w:val="28"/>
          <w:szCs w:val="28"/>
        </w:rPr>
        <w:t>市场上的股权类基金产品和直接股权投资的重</w:t>
      </w:r>
      <w:r>
        <w:rPr>
          <w:rFonts w:ascii="FangSong" w:hAnsi="FangSong" w:eastAsia="FangSong" w:cs="FangSong"/>
          <w:sz w:val="28"/>
          <w:szCs w:val="28"/>
        </w:rPr>
        <w:t>大投资，由投委会在</w:t>
      </w:r>
      <w:r>
        <w:rPr>
          <w:rFonts w:ascii="FangSong" w:hAnsi="FangSong" w:eastAsia="FangSong" w:cs="FangSong"/>
          <w:spacing w:val="-10"/>
          <w:sz w:val="28"/>
          <w:szCs w:val="28"/>
        </w:rPr>
        <w:t>调</w:t>
      </w:r>
      <w:r>
        <w:rPr>
          <w:rFonts w:ascii="FangSong" w:hAnsi="FangSong" w:eastAsia="FangSong" w:cs="FangSong"/>
          <w:spacing w:val="-8"/>
          <w:sz w:val="28"/>
          <w:szCs w:val="28"/>
        </w:rPr>
        <w:t>研</w:t>
      </w:r>
      <w:r>
        <w:rPr>
          <w:rFonts w:ascii="FangSong" w:hAnsi="FangSong" w:eastAsia="FangSong" w:cs="FangSong"/>
          <w:spacing w:val="-5"/>
          <w:sz w:val="28"/>
          <w:szCs w:val="28"/>
        </w:rPr>
        <w:t>、评估并进行可行性分析后，形成投资议案提交理事会决策，</w:t>
      </w:r>
      <w:r>
        <w:rPr>
          <w:rFonts w:ascii="FangSong" w:hAnsi="FangSong" w:eastAsia="FangSong" w:cs="FangSong"/>
          <w:spacing w:val="-1"/>
          <w:sz w:val="28"/>
          <w:szCs w:val="28"/>
        </w:rPr>
        <w:t>经全体理事三分之二以上表决同意后方可</w:t>
      </w:r>
      <w:r>
        <w:rPr>
          <w:rFonts w:ascii="FangSong" w:hAnsi="FangSong" w:eastAsia="FangSong" w:cs="FangSong"/>
          <w:sz w:val="28"/>
          <w:szCs w:val="28"/>
        </w:rPr>
        <w:t>执行。</w:t>
      </w:r>
    </w:p>
    <w:p>
      <w:pPr>
        <w:sectPr>
          <w:footerReference r:id="rId10" w:type="default"/>
          <w:pgSz w:w="11907" w:h="16839"/>
          <w:pgMar w:top="1214" w:right="1771" w:bottom="1665" w:left="1771" w:header="516" w:footer="1424" w:gutter="0"/>
          <w:cols w:space="720" w:num="1"/>
        </w:sectPr>
      </w:pPr>
    </w:p>
    <w:p>
      <w:pPr>
        <w:spacing w:line="307" w:lineRule="auto"/>
        <w:rPr>
          <w:rFonts w:ascii="Arial"/>
          <w:sz w:val="21"/>
        </w:rPr>
      </w:pPr>
    </w:p>
    <w:p>
      <w:pPr>
        <w:spacing w:before="91" w:line="411" w:lineRule="auto"/>
        <w:ind w:left="46" w:right="67" w:firstLine="572"/>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理事会审议通过的年度投资方案中，除投</w:t>
      </w:r>
      <w:r>
        <w:rPr>
          <w:rFonts w:ascii="FangSong" w:hAnsi="FangSong" w:eastAsia="FangSong" w:cs="FangSong"/>
          <w:sz w:val="28"/>
          <w:szCs w:val="28"/>
        </w:rPr>
        <w:t>资于一级市</w:t>
      </w:r>
      <w:r>
        <w:rPr>
          <w:rFonts w:ascii="FangSong" w:hAnsi="FangSong" w:eastAsia="FangSong" w:cs="FangSong"/>
          <w:spacing w:val="-1"/>
          <w:sz w:val="28"/>
          <w:szCs w:val="28"/>
        </w:rPr>
        <w:t>场上的股权类基金产品和直接股权投资外的</w:t>
      </w:r>
      <w:r>
        <w:rPr>
          <w:rFonts w:ascii="FangSong" w:hAnsi="FangSong" w:eastAsia="FangSong" w:cs="FangSong"/>
          <w:sz w:val="28"/>
          <w:szCs w:val="28"/>
        </w:rPr>
        <w:t>重大投资，投委会委员</w:t>
      </w:r>
      <w:r>
        <w:rPr>
          <w:rFonts w:ascii="FangSong" w:hAnsi="FangSong" w:eastAsia="FangSong" w:cs="FangSong"/>
          <w:spacing w:val="-10"/>
          <w:sz w:val="28"/>
          <w:szCs w:val="28"/>
        </w:rPr>
        <w:t>可根</w:t>
      </w:r>
      <w:r>
        <w:rPr>
          <w:rFonts w:ascii="FangSong" w:hAnsi="FangSong" w:eastAsia="FangSong" w:cs="FangSong"/>
          <w:spacing w:val="-7"/>
          <w:sz w:val="28"/>
          <w:szCs w:val="28"/>
        </w:rPr>
        <w:t>据</w:t>
      </w:r>
      <w:r>
        <w:rPr>
          <w:rFonts w:ascii="FangSong" w:hAnsi="FangSong" w:eastAsia="FangSong" w:cs="FangSong"/>
          <w:spacing w:val="-5"/>
          <w:sz w:val="28"/>
          <w:szCs w:val="28"/>
        </w:rPr>
        <w:t>投资产品的风险收益特征，向投委会提供投资建议，经调</w:t>
      </w:r>
      <w:r>
        <w:rPr>
          <w:rFonts w:ascii="FangSong" w:hAnsi="FangSong" w:eastAsia="FangSong" w:cs="FangSong"/>
          <w:spacing w:val="-10"/>
          <w:sz w:val="28"/>
          <w:szCs w:val="28"/>
        </w:rPr>
        <w:t>研</w:t>
      </w:r>
      <w:r>
        <w:rPr>
          <w:rFonts w:ascii="FangSong" w:hAnsi="FangSong" w:eastAsia="FangSong" w:cs="FangSong"/>
          <w:spacing w:val="-9"/>
          <w:sz w:val="28"/>
          <w:szCs w:val="28"/>
        </w:rPr>
        <w:t>、</w:t>
      </w:r>
      <w:r>
        <w:rPr>
          <w:rFonts w:ascii="FangSong" w:hAnsi="FangSong" w:eastAsia="FangSong" w:cs="FangSong"/>
          <w:spacing w:val="-5"/>
          <w:sz w:val="28"/>
          <w:szCs w:val="28"/>
        </w:rPr>
        <w:t>评估后形成初步意见，经投委会全体委员三分之二以上表决同</w:t>
      </w:r>
      <w:r>
        <w:rPr>
          <w:rFonts w:ascii="FangSong" w:hAnsi="FangSong" w:eastAsia="FangSong" w:cs="FangSong"/>
          <w:spacing w:val="-4"/>
          <w:sz w:val="28"/>
          <w:szCs w:val="28"/>
        </w:rPr>
        <w:t>意</w:t>
      </w:r>
      <w:r>
        <w:rPr>
          <w:rFonts w:ascii="FangSong" w:hAnsi="FangSong" w:eastAsia="FangSong" w:cs="FangSong"/>
          <w:spacing w:val="-2"/>
          <w:sz w:val="28"/>
          <w:szCs w:val="28"/>
        </w:rPr>
        <w:t>后方可执行。</w:t>
      </w:r>
    </w:p>
    <w:p>
      <w:pPr>
        <w:spacing w:before="1" w:line="222" w:lineRule="auto"/>
        <w:ind w:left="618"/>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第二十一条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理事会审议通过的年度投资方案中</w:t>
      </w:r>
      <w:r>
        <w:rPr>
          <w:rFonts w:ascii="FangSong" w:hAnsi="FangSong" w:eastAsia="FangSong" w:cs="FangSong"/>
          <w:sz w:val="28"/>
          <w:szCs w:val="28"/>
        </w:rPr>
        <w:t>的低风险类投</w:t>
      </w:r>
    </w:p>
    <w:p>
      <w:pPr>
        <w:spacing w:before="289" w:line="411" w:lineRule="auto"/>
        <w:ind w:left="47" w:right="216" w:firstLine="14"/>
        <w:rPr>
          <w:rFonts w:ascii="FangSong" w:hAnsi="FangSong" w:eastAsia="FangSong" w:cs="FangSong"/>
          <w:sz w:val="28"/>
          <w:szCs w:val="28"/>
        </w:rPr>
      </w:pPr>
      <w:r>
        <w:rPr>
          <w:rFonts w:ascii="FangSong" w:hAnsi="FangSong" w:eastAsia="FangSong" w:cs="FangSong"/>
          <w:spacing w:val="-2"/>
          <w:sz w:val="28"/>
          <w:szCs w:val="28"/>
        </w:rPr>
        <w:t>资，在理事</w:t>
      </w:r>
      <w:r>
        <w:rPr>
          <w:rFonts w:ascii="FangSong" w:hAnsi="FangSong" w:eastAsia="FangSong" w:cs="FangSong"/>
          <w:spacing w:val="-1"/>
          <w:sz w:val="28"/>
          <w:szCs w:val="28"/>
        </w:rPr>
        <w:t>会及投委会决策的配置比例范围内，由秘书处综合管理部负责开户，并根据基金会资金需求，在兼具</w:t>
      </w:r>
      <w:r>
        <w:rPr>
          <w:rFonts w:ascii="FangSong" w:hAnsi="FangSong" w:eastAsia="FangSong" w:cs="FangSong"/>
          <w:sz w:val="28"/>
          <w:szCs w:val="28"/>
        </w:rPr>
        <w:t>流动性和收益性的前</w:t>
      </w:r>
      <w:r>
        <w:rPr>
          <w:rFonts w:ascii="FangSong" w:hAnsi="FangSong" w:eastAsia="FangSong" w:cs="FangSong"/>
          <w:spacing w:val="-12"/>
          <w:sz w:val="28"/>
          <w:szCs w:val="28"/>
        </w:rPr>
        <w:t>提下将</w:t>
      </w:r>
      <w:r>
        <w:rPr>
          <w:rFonts w:ascii="FangSong" w:hAnsi="FangSong" w:eastAsia="FangSong" w:cs="FangSong"/>
          <w:spacing w:val="-6"/>
          <w:sz w:val="28"/>
          <w:szCs w:val="28"/>
        </w:rPr>
        <w:t>闲置资金购买不同期限的低风险产品，每月向投委会报告。</w:t>
      </w:r>
      <w:r>
        <w:rPr>
          <w:rFonts w:ascii="FangSong" w:hAnsi="FangSong" w:eastAsia="FangSong" w:cs="FangSong"/>
          <w:spacing w:val="-1"/>
          <w:sz w:val="28"/>
          <w:szCs w:val="28"/>
        </w:rPr>
        <w:t>基金会资金低风险产品所开账户只能用于投资</w:t>
      </w:r>
      <w:r>
        <w:rPr>
          <w:rFonts w:ascii="FangSong" w:hAnsi="FangSong" w:eastAsia="FangSong" w:cs="FangSong"/>
          <w:sz w:val="28"/>
          <w:szCs w:val="28"/>
        </w:rPr>
        <w:t>低风险产品，未经相</w:t>
      </w:r>
      <w:r>
        <w:rPr>
          <w:rFonts w:ascii="FangSong" w:hAnsi="FangSong" w:eastAsia="FangSong" w:cs="FangSong"/>
          <w:spacing w:val="-4"/>
          <w:sz w:val="28"/>
          <w:szCs w:val="28"/>
        </w:rPr>
        <w:t>应授权不得投</w:t>
      </w:r>
      <w:r>
        <w:rPr>
          <w:rFonts w:ascii="FangSong" w:hAnsi="FangSong" w:eastAsia="FangSong" w:cs="FangSong"/>
          <w:spacing w:val="-2"/>
          <w:sz w:val="28"/>
          <w:szCs w:val="28"/>
        </w:rPr>
        <w:t>资于中高风险产品。</w:t>
      </w:r>
    </w:p>
    <w:p>
      <w:pPr>
        <w:spacing w:line="221" w:lineRule="auto"/>
        <w:ind w:left="618"/>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第二十二条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基金会资金保值增值投资活动日常管理</w:t>
      </w:r>
      <w:r>
        <w:rPr>
          <w:rFonts w:ascii="FangSong" w:hAnsi="FangSong" w:eastAsia="FangSong" w:cs="FangSong"/>
          <w:sz w:val="28"/>
          <w:szCs w:val="28"/>
        </w:rPr>
        <w:t>流程如下：</w:t>
      </w:r>
    </w:p>
    <w:p>
      <w:pPr>
        <w:spacing w:before="289" w:line="411" w:lineRule="auto"/>
        <w:ind w:left="47" w:right="160" w:firstLine="578"/>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一</w:t>
      </w:r>
      <w:r>
        <w:rPr>
          <w:rFonts w:ascii="FangSong" w:hAnsi="FangSong" w:eastAsia="FangSong" w:cs="FangSong"/>
          <w:spacing w:val="-4"/>
          <w:sz w:val="28"/>
          <w:szCs w:val="28"/>
        </w:rPr>
        <w:t>)确定资金投资于中高风险产品和低风险产品的时点及具体</w:t>
      </w:r>
      <w:r>
        <w:rPr>
          <w:rFonts w:ascii="FangSong" w:hAnsi="FangSong" w:eastAsia="FangSong" w:cs="FangSong"/>
          <w:spacing w:val="-7"/>
          <w:sz w:val="28"/>
          <w:szCs w:val="28"/>
        </w:rPr>
        <w:t>金</w:t>
      </w:r>
      <w:r>
        <w:rPr>
          <w:rFonts w:ascii="FangSong" w:hAnsi="FangSong" w:eastAsia="FangSong" w:cs="FangSong"/>
          <w:spacing w:val="-5"/>
          <w:sz w:val="28"/>
          <w:szCs w:val="28"/>
        </w:rPr>
        <w:t>额。</w:t>
      </w:r>
    </w:p>
    <w:p>
      <w:pPr>
        <w:spacing w:before="2" w:line="411" w:lineRule="auto"/>
        <w:ind w:left="47" w:right="216" w:firstLine="559"/>
        <w:rPr>
          <w:rFonts w:ascii="FangSong" w:hAnsi="FangSong" w:eastAsia="FangSong" w:cs="FangSong"/>
          <w:sz w:val="28"/>
          <w:szCs w:val="28"/>
        </w:rPr>
      </w:pPr>
      <w:r>
        <w:rPr>
          <w:rFonts w:ascii="FangSong" w:hAnsi="FangSong" w:eastAsia="FangSong" w:cs="FangSong"/>
          <w:spacing w:val="-10"/>
          <w:sz w:val="28"/>
          <w:szCs w:val="28"/>
        </w:rPr>
        <w:t>秘书处</w:t>
      </w:r>
      <w:r>
        <w:rPr>
          <w:rFonts w:ascii="FangSong" w:hAnsi="FangSong" w:eastAsia="FangSong" w:cs="FangSong"/>
          <w:spacing w:val="-9"/>
          <w:sz w:val="28"/>
          <w:szCs w:val="28"/>
        </w:rPr>
        <w:t>综</w:t>
      </w:r>
      <w:r>
        <w:rPr>
          <w:rFonts w:ascii="FangSong" w:hAnsi="FangSong" w:eastAsia="FangSong" w:cs="FangSong"/>
          <w:spacing w:val="-5"/>
          <w:sz w:val="28"/>
          <w:szCs w:val="28"/>
        </w:rPr>
        <w:t>合管理部在分析基金会财务状况的基础上，月度例会</w:t>
      </w:r>
      <w:r>
        <w:rPr>
          <w:rFonts w:ascii="FangSong" w:hAnsi="FangSong" w:eastAsia="FangSong" w:cs="FangSong"/>
          <w:spacing w:val="-1"/>
          <w:sz w:val="28"/>
          <w:szCs w:val="28"/>
        </w:rPr>
        <w:t>上向投委会汇报资金的投资收益及资金月、季</w:t>
      </w:r>
      <w:r>
        <w:rPr>
          <w:rFonts w:ascii="FangSong" w:hAnsi="FangSong" w:eastAsia="FangSong" w:cs="FangSong"/>
          <w:sz w:val="28"/>
          <w:szCs w:val="28"/>
        </w:rPr>
        <w:t>度需求情况。投资时</w:t>
      </w:r>
      <w:r>
        <w:rPr>
          <w:rFonts w:ascii="FangSong" w:hAnsi="FangSong" w:eastAsia="FangSong" w:cs="FangSong"/>
          <w:spacing w:val="-1"/>
          <w:sz w:val="28"/>
          <w:szCs w:val="28"/>
        </w:rPr>
        <w:t>点及具体金额须考虑基金会未来财务状况，在</w:t>
      </w:r>
      <w:r>
        <w:rPr>
          <w:rFonts w:ascii="FangSong" w:hAnsi="FangSong" w:eastAsia="FangSong" w:cs="FangSong"/>
          <w:sz w:val="28"/>
          <w:szCs w:val="28"/>
        </w:rPr>
        <w:t>保障基金会运营资金</w:t>
      </w:r>
      <w:r>
        <w:rPr>
          <w:rFonts w:ascii="FangSong" w:hAnsi="FangSong" w:eastAsia="FangSong" w:cs="FangSong"/>
          <w:spacing w:val="-2"/>
          <w:sz w:val="28"/>
          <w:szCs w:val="28"/>
        </w:rPr>
        <w:t>流动性的前提下确定</w:t>
      </w:r>
      <w:r>
        <w:rPr>
          <w:rFonts w:ascii="FangSong" w:hAnsi="FangSong" w:eastAsia="FangSong" w:cs="FangSong"/>
          <w:spacing w:val="-1"/>
          <w:sz w:val="28"/>
          <w:szCs w:val="28"/>
        </w:rPr>
        <w:t>。</w:t>
      </w:r>
    </w:p>
    <w:p>
      <w:pPr>
        <w:spacing w:before="1" w:line="223" w:lineRule="auto"/>
        <w:ind w:left="625"/>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5"/>
          <w:sz w:val="28"/>
          <w:szCs w:val="28"/>
        </w:rPr>
        <w:t>二</w:t>
      </w:r>
      <w:r>
        <w:rPr>
          <w:rFonts w:ascii="FangSong" w:hAnsi="FangSong" w:eastAsia="FangSong" w:cs="FangSong"/>
          <w:spacing w:val="-4"/>
          <w:sz w:val="28"/>
          <w:szCs w:val="28"/>
        </w:rPr>
        <w:t>)投委会委员提议投资方案，经投委会审议，形成书面投资</w:t>
      </w:r>
    </w:p>
    <w:p>
      <w:pPr>
        <w:spacing w:before="284" w:line="224" w:lineRule="auto"/>
        <w:ind w:left="48"/>
        <w:rPr>
          <w:rFonts w:ascii="FangSong" w:hAnsi="FangSong" w:eastAsia="FangSong" w:cs="FangSong"/>
          <w:sz w:val="28"/>
          <w:szCs w:val="28"/>
        </w:rPr>
      </w:pPr>
      <w:r>
        <w:rPr>
          <w:rFonts w:ascii="FangSong" w:hAnsi="FangSong" w:eastAsia="FangSong" w:cs="FangSong"/>
          <w:spacing w:val="-7"/>
          <w:sz w:val="28"/>
          <w:szCs w:val="28"/>
        </w:rPr>
        <w:t>决</w:t>
      </w:r>
      <w:r>
        <w:rPr>
          <w:rFonts w:ascii="FangSong" w:hAnsi="FangSong" w:eastAsia="FangSong" w:cs="FangSong"/>
          <w:spacing w:val="-6"/>
          <w:sz w:val="28"/>
          <w:szCs w:val="28"/>
        </w:rPr>
        <w:t>议。</w:t>
      </w:r>
    </w:p>
    <w:p>
      <w:pPr>
        <w:sectPr>
          <w:footerReference r:id="rId11" w:type="default"/>
          <w:pgSz w:w="11907" w:h="16839"/>
          <w:pgMar w:top="1214" w:right="1771" w:bottom="1665" w:left="1771" w:header="516" w:footer="1424" w:gutter="0"/>
          <w:cols w:space="720" w:num="1"/>
        </w:sectPr>
      </w:pPr>
    </w:p>
    <w:p>
      <w:pPr>
        <w:spacing w:line="306" w:lineRule="auto"/>
        <w:rPr>
          <w:rFonts w:ascii="Arial"/>
          <w:sz w:val="21"/>
        </w:rPr>
      </w:pPr>
    </w:p>
    <w:p>
      <w:pPr>
        <w:spacing w:before="91" w:line="411" w:lineRule="auto"/>
        <w:ind w:left="46" w:right="160" w:firstLine="579"/>
        <w:rPr>
          <w:rFonts w:ascii="FangSong" w:hAnsi="FangSong" w:eastAsia="FangSong" w:cs="FangSong"/>
          <w:sz w:val="28"/>
          <w:szCs w:val="28"/>
        </w:rPr>
      </w:pPr>
      <w:r>
        <w:rPr>
          <w:rFonts w:ascii="FangSong" w:hAnsi="FangSong" w:eastAsia="FangSong" w:cs="FangSong"/>
          <w:spacing w:val="-16"/>
          <w:sz w:val="28"/>
          <w:szCs w:val="28"/>
        </w:rPr>
        <w:t>(三</w:t>
      </w:r>
      <w:r>
        <w:rPr>
          <w:rFonts w:ascii="FangSong" w:hAnsi="FangSong" w:eastAsia="FangSong" w:cs="FangSong"/>
          <w:spacing w:val="-15"/>
          <w:sz w:val="28"/>
          <w:szCs w:val="28"/>
        </w:rPr>
        <w:t>)</w:t>
      </w:r>
      <w:r>
        <w:rPr>
          <w:rFonts w:ascii="FangSong" w:hAnsi="FangSong" w:eastAsia="FangSong" w:cs="FangSong"/>
          <w:spacing w:val="-8"/>
          <w:sz w:val="28"/>
          <w:szCs w:val="28"/>
        </w:rPr>
        <w:t>秘书处综合管理部根据投资决议，执行投资合同及其他书</w:t>
      </w:r>
      <w:r>
        <w:rPr>
          <w:rFonts w:ascii="FangSong" w:hAnsi="FangSong" w:eastAsia="FangSong" w:cs="FangSong"/>
          <w:spacing w:val="-1"/>
          <w:sz w:val="28"/>
          <w:szCs w:val="28"/>
        </w:rPr>
        <w:t>面材料的签署工作、款项结算、投后的跟踪</w:t>
      </w:r>
      <w:r>
        <w:rPr>
          <w:rFonts w:ascii="FangSong" w:hAnsi="FangSong" w:eastAsia="FangSong" w:cs="FangSong"/>
          <w:sz w:val="28"/>
          <w:szCs w:val="28"/>
        </w:rPr>
        <w:t>汇报、会计核算、投资</w:t>
      </w:r>
      <w:r>
        <w:rPr>
          <w:rFonts w:ascii="FangSong" w:hAnsi="FangSong" w:eastAsia="FangSong" w:cs="FangSong"/>
          <w:spacing w:val="-2"/>
          <w:sz w:val="28"/>
          <w:szCs w:val="28"/>
        </w:rPr>
        <w:t>档案管理等工作</w:t>
      </w:r>
      <w:r>
        <w:rPr>
          <w:rFonts w:ascii="FangSong" w:hAnsi="FangSong" w:eastAsia="FangSong" w:cs="FangSong"/>
          <w:spacing w:val="-1"/>
          <w:sz w:val="28"/>
          <w:szCs w:val="28"/>
        </w:rPr>
        <w:t>。</w:t>
      </w:r>
    </w:p>
    <w:p>
      <w:pPr>
        <w:spacing w:before="3" w:line="414" w:lineRule="auto"/>
        <w:ind w:left="48" w:right="160" w:firstLine="577"/>
        <w:rPr>
          <w:rFonts w:ascii="FangSong" w:hAnsi="FangSong" w:eastAsia="FangSong" w:cs="FangSong"/>
          <w:sz w:val="28"/>
          <w:szCs w:val="28"/>
        </w:rPr>
      </w:pPr>
      <w:r>
        <w:rPr>
          <w:rFonts w:ascii="FangSong" w:hAnsi="FangSong" w:eastAsia="FangSong" w:cs="FangSong"/>
          <w:spacing w:val="-8"/>
          <w:sz w:val="28"/>
          <w:szCs w:val="28"/>
        </w:rPr>
        <w:t>(</w:t>
      </w:r>
      <w:r>
        <w:rPr>
          <w:rFonts w:ascii="FangSong" w:hAnsi="FangSong" w:eastAsia="FangSong" w:cs="FangSong"/>
          <w:spacing w:val="-7"/>
          <w:sz w:val="28"/>
          <w:szCs w:val="28"/>
        </w:rPr>
        <w:t>四</w:t>
      </w:r>
      <w:r>
        <w:rPr>
          <w:rFonts w:ascii="FangSong" w:hAnsi="FangSong" w:eastAsia="FangSong" w:cs="FangSong"/>
          <w:spacing w:val="-4"/>
          <w:sz w:val="28"/>
          <w:szCs w:val="28"/>
        </w:rPr>
        <w:t>)秘书处综合管理部根据基金会持有的投资产品详细信息编</w:t>
      </w:r>
      <w:r>
        <w:rPr>
          <w:rFonts w:ascii="FangSong" w:hAnsi="FangSong" w:eastAsia="FangSong" w:cs="FangSong"/>
          <w:spacing w:val="-1"/>
          <w:sz w:val="28"/>
          <w:szCs w:val="28"/>
        </w:rPr>
        <w:t>制反映中、高风险产品市值及盈亏情况的“基金</w:t>
      </w:r>
      <w:r>
        <w:rPr>
          <w:rFonts w:ascii="FangSong" w:hAnsi="FangSong" w:eastAsia="FangSong" w:cs="FangSong"/>
          <w:sz w:val="28"/>
          <w:szCs w:val="28"/>
        </w:rPr>
        <w:t>会保值增值投资明</w:t>
      </w:r>
      <w:r>
        <w:rPr>
          <w:rFonts w:ascii="FangSong" w:hAnsi="FangSong" w:eastAsia="FangSong" w:cs="FangSong"/>
          <w:spacing w:val="-16"/>
          <w:sz w:val="28"/>
          <w:szCs w:val="28"/>
        </w:rPr>
        <w:t>细表”，每月进行监控。</w:t>
      </w:r>
    </w:p>
    <w:p>
      <w:pPr>
        <w:spacing w:before="120" w:line="227" w:lineRule="auto"/>
        <w:ind w:left="2105"/>
        <w:rPr>
          <w:rFonts w:ascii="SimHei" w:hAnsi="SimHei" w:eastAsia="SimHei" w:cs="SimHei"/>
          <w:sz w:val="31"/>
          <w:szCs w:val="31"/>
        </w:rPr>
      </w:pPr>
      <w:r>
        <w:rPr>
          <w:rFonts w:ascii="SimHei" w:hAnsi="SimHei" w:eastAsia="SimHei" w:cs="SimHei"/>
          <w:spacing w:val="16"/>
          <w:sz w:val="31"/>
          <w:szCs w:val="31"/>
          <w14:textOutline w14:w="5791" w14:cap="flat" w14:cmpd="sng">
            <w14:solidFill>
              <w14:srgbClr w14:val="000000"/>
            </w14:solidFill>
            <w14:prstDash w14:val="solid"/>
            <w14:miter w14:val="10"/>
          </w14:textOutline>
        </w:rPr>
        <w:t>第</w:t>
      </w:r>
      <w:r>
        <w:rPr>
          <w:rFonts w:ascii="SimHei" w:hAnsi="SimHei" w:eastAsia="SimHei" w:cs="SimHei"/>
          <w:spacing w:val="9"/>
          <w:sz w:val="31"/>
          <w:szCs w:val="31"/>
          <w14:textOutline w14:w="5791" w14:cap="flat" w14:cmpd="sng">
            <w14:solidFill>
              <w14:srgbClr w14:val="000000"/>
            </w14:solidFill>
            <w14:prstDash w14:val="solid"/>
            <w14:miter w14:val="10"/>
          </w14:textOutline>
        </w:rPr>
        <w:t>六章投资配置及风险控制</w:t>
      </w:r>
    </w:p>
    <w:p>
      <w:pPr>
        <w:spacing w:line="329" w:lineRule="auto"/>
        <w:rPr>
          <w:rFonts w:ascii="Arial"/>
          <w:sz w:val="21"/>
        </w:rPr>
      </w:pPr>
    </w:p>
    <w:p>
      <w:pPr>
        <w:spacing w:before="91" w:line="411" w:lineRule="auto"/>
        <w:ind w:left="46" w:right="216" w:firstLine="55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第二十三条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秘书处综合管理部负责跟踪投资的波动</w:t>
      </w:r>
      <w:r>
        <w:rPr>
          <w:rFonts w:ascii="FangSong" w:hAnsi="FangSong" w:eastAsia="FangSong" w:cs="FangSong"/>
          <w:sz w:val="28"/>
          <w:szCs w:val="28"/>
        </w:rPr>
        <w:t>及安全状</w:t>
      </w:r>
      <w:r>
        <w:rPr>
          <w:rFonts w:ascii="FangSong" w:hAnsi="FangSong" w:eastAsia="FangSong" w:cs="FangSong"/>
          <w:spacing w:val="-1"/>
          <w:sz w:val="28"/>
          <w:szCs w:val="28"/>
        </w:rPr>
        <w:t>况，出现异常情况时(根据年度计划中风控</w:t>
      </w:r>
      <w:r>
        <w:rPr>
          <w:rFonts w:ascii="FangSong" w:hAnsi="FangSong" w:eastAsia="FangSong" w:cs="FangSong"/>
          <w:sz w:val="28"/>
          <w:szCs w:val="28"/>
        </w:rPr>
        <w:t>要求确定)应在三个工</w:t>
      </w:r>
      <w:r>
        <w:rPr>
          <w:rFonts w:ascii="FangSong" w:hAnsi="FangSong" w:eastAsia="FangSong" w:cs="FangSong"/>
          <w:spacing w:val="-10"/>
          <w:sz w:val="28"/>
          <w:szCs w:val="28"/>
        </w:rPr>
        <w:t>作日</w:t>
      </w:r>
      <w:r>
        <w:rPr>
          <w:rFonts w:ascii="FangSong" w:hAnsi="FangSong" w:eastAsia="FangSong" w:cs="FangSong"/>
          <w:spacing w:val="-5"/>
          <w:sz w:val="28"/>
          <w:szCs w:val="28"/>
        </w:rPr>
        <w:t>内报告秘书长和投委会，属于重大投资行为的，由投委会向理</w:t>
      </w:r>
      <w:r>
        <w:rPr>
          <w:rFonts w:ascii="FangSong" w:hAnsi="FangSong" w:eastAsia="FangSong" w:cs="FangSong"/>
          <w:spacing w:val="-1"/>
          <w:sz w:val="28"/>
          <w:szCs w:val="28"/>
        </w:rPr>
        <w:t>事会汇报，以便投委会或理事会快速决策，减</w:t>
      </w:r>
      <w:r>
        <w:rPr>
          <w:rFonts w:ascii="FangSong" w:hAnsi="FangSong" w:eastAsia="FangSong" w:cs="FangSong"/>
          <w:sz w:val="28"/>
          <w:szCs w:val="28"/>
        </w:rPr>
        <w:t>少或避免损失。</w:t>
      </w:r>
    </w:p>
    <w:p>
      <w:pPr>
        <w:spacing w:before="1" w:line="411" w:lineRule="auto"/>
        <w:ind w:left="46" w:right="89" w:firstLine="550"/>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第二十四条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基金会的保值增值投资配置应当符合但</w:t>
      </w:r>
      <w:r>
        <w:rPr>
          <w:rFonts w:ascii="FangSong" w:hAnsi="FangSong" w:eastAsia="FangSong" w:cs="FangSong"/>
          <w:sz w:val="28"/>
          <w:szCs w:val="28"/>
        </w:rPr>
        <w:t>不限于下列</w:t>
      </w:r>
      <w:r>
        <w:rPr>
          <w:rFonts w:ascii="FangSong" w:hAnsi="FangSong" w:eastAsia="FangSong" w:cs="FangSong"/>
          <w:spacing w:val="-19"/>
          <w:sz w:val="28"/>
          <w:szCs w:val="28"/>
        </w:rPr>
        <w:t>规</w:t>
      </w:r>
      <w:r>
        <w:rPr>
          <w:rFonts w:ascii="FangSong" w:hAnsi="FangSong" w:eastAsia="FangSong" w:cs="FangSong"/>
          <w:spacing w:val="-17"/>
          <w:sz w:val="28"/>
          <w:szCs w:val="28"/>
        </w:rPr>
        <w:t>定：</w:t>
      </w:r>
    </w:p>
    <w:p>
      <w:pPr>
        <w:spacing w:before="1" w:line="411" w:lineRule="auto"/>
        <w:ind w:left="161" w:right="28" w:firstLine="492"/>
        <w:rPr>
          <w:rFonts w:ascii="FangSong" w:hAnsi="FangSong" w:eastAsia="FangSong" w:cs="FangSong"/>
          <w:sz w:val="28"/>
          <w:szCs w:val="28"/>
        </w:rPr>
      </w:pPr>
      <w:r>
        <w:rPr>
          <w:rFonts w:ascii="FangSong" w:hAnsi="FangSong" w:eastAsia="FangSong" w:cs="FangSong"/>
          <w:spacing w:val="-10"/>
          <w:sz w:val="28"/>
          <w:szCs w:val="28"/>
        </w:rPr>
        <w:t>(一)保持必要的流动性，投资配置中的短期、中期、长期投资</w:t>
      </w:r>
      <w:r>
        <w:rPr>
          <w:rFonts w:ascii="FangSong" w:hAnsi="FangSong" w:eastAsia="FangSong" w:cs="FangSong"/>
          <w:spacing w:val="-9"/>
          <w:sz w:val="28"/>
          <w:szCs w:val="28"/>
        </w:rPr>
        <w:t>能</w:t>
      </w:r>
      <w:r>
        <w:rPr>
          <w:rFonts w:ascii="FangSong" w:hAnsi="FangSong" w:eastAsia="FangSong" w:cs="FangSong"/>
          <w:spacing w:val="-2"/>
          <w:sz w:val="28"/>
          <w:szCs w:val="28"/>
        </w:rPr>
        <w:t>满足基</w:t>
      </w:r>
      <w:r>
        <w:rPr>
          <w:rFonts w:ascii="FangSong" w:hAnsi="FangSong" w:eastAsia="FangSong" w:cs="FangSong"/>
          <w:spacing w:val="-1"/>
          <w:sz w:val="28"/>
          <w:szCs w:val="28"/>
        </w:rPr>
        <w:t>金会的业务需要的资金流动周期；</w:t>
      </w:r>
    </w:p>
    <w:p>
      <w:pPr>
        <w:spacing w:before="1" w:line="411" w:lineRule="auto"/>
        <w:ind w:left="162" w:right="25" w:firstLine="492"/>
        <w:rPr>
          <w:rFonts w:ascii="FangSong" w:hAnsi="FangSong" w:eastAsia="FangSong" w:cs="FangSong"/>
          <w:sz w:val="28"/>
          <w:szCs w:val="28"/>
        </w:rPr>
      </w:pPr>
      <w:r>
        <w:rPr>
          <w:rFonts w:ascii="FangSong" w:hAnsi="FangSong" w:eastAsia="FangSong" w:cs="FangSong"/>
          <w:spacing w:val="-22"/>
          <w:sz w:val="28"/>
          <w:szCs w:val="28"/>
        </w:rPr>
        <w:t>(</w:t>
      </w:r>
      <w:r>
        <w:rPr>
          <w:rFonts w:ascii="FangSong" w:hAnsi="FangSong" w:eastAsia="FangSong" w:cs="FangSong"/>
          <w:spacing w:val="-13"/>
          <w:sz w:val="28"/>
          <w:szCs w:val="28"/>
        </w:rPr>
        <w:t>二</w:t>
      </w:r>
      <w:r>
        <w:rPr>
          <w:rFonts w:ascii="FangSong" w:hAnsi="FangSong" w:eastAsia="FangSong" w:cs="FangSong"/>
          <w:spacing w:val="-11"/>
          <w:sz w:val="28"/>
          <w:szCs w:val="28"/>
        </w:rPr>
        <w:t>)保持必要的风险分散，基金会应当审慎选择，适当配置高、</w:t>
      </w:r>
      <w:r>
        <w:rPr>
          <w:rFonts w:ascii="FangSong" w:hAnsi="FangSong" w:eastAsia="FangSong" w:cs="FangSong"/>
          <w:spacing w:val="-3"/>
          <w:sz w:val="28"/>
          <w:szCs w:val="28"/>
        </w:rPr>
        <w:t>中、低风险产品的比例以分散风险，明确基金会的风险识别能</w:t>
      </w:r>
      <w:r>
        <w:rPr>
          <w:rFonts w:ascii="FangSong" w:hAnsi="FangSong" w:eastAsia="FangSong" w:cs="FangSong"/>
          <w:spacing w:val="-1"/>
          <w:sz w:val="28"/>
          <w:szCs w:val="28"/>
        </w:rPr>
        <w:t>力</w:t>
      </w:r>
      <w:r>
        <w:rPr>
          <w:rFonts w:ascii="FangSong" w:hAnsi="FangSong" w:eastAsia="FangSong" w:cs="FangSong"/>
          <w:sz w:val="28"/>
          <w:szCs w:val="28"/>
        </w:rPr>
        <w:t>和</w:t>
      </w:r>
      <w:r>
        <w:rPr>
          <w:rFonts w:ascii="FangSong" w:hAnsi="FangSong" w:eastAsia="FangSong" w:cs="FangSong"/>
          <w:spacing w:val="-4"/>
          <w:sz w:val="28"/>
          <w:szCs w:val="28"/>
        </w:rPr>
        <w:t>风险</w:t>
      </w:r>
      <w:r>
        <w:rPr>
          <w:rFonts w:ascii="FangSong" w:hAnsi="FangSong" w:eastAsia="FangSong" w:cs="FangSong"/>
          <w:spacing w:val="-3"/>
          <w:sz w:val="28"/>
          <w:szCs w:val="28"/>
        </w:rPr>
        <w:t>承</w:t>
      </w:r>
      <w:r>
        <w:rPr>
          <w:rFonts w:ascii="FangSong" w:hAnsi="FangSong" w:eastAsia="FangSong" w:cs="FangSong"/>
          <w:spacing w:val="-2"/>
          <w:sz w:val="28"/>
          <w:szCs w:val="28"/>
        </w:rPr>
        <w:t>担能力；</w:t>
      </w:r>
    </w:p>
    <w:p>
      <w:pPr>
        <w:spacing w:before="1" w:line="411" w:lineRule="auto"/>
        <w:ind w:left="162" w:right="28" w:firstLine="491"/>
        <w:rPr>
          <w:rFonts w:ascii="FangSong" w:hAnsi="FangSong" w:eastAsia="FangSong" w:cs="FangSong"/>
          <w:sz w:val="28"/>
          <w:szCs w:val="28"/>
        </w:rPr>
      </w:pPr>
      <w:r>
        <w:rPr>
          <w:rFonts w:ascii="FangSong" w:hAnsi="FangSong" w:eastAsia="FangSong" w:cs="FangSong"/>
          <w:spacing w:val="-12"/>
          <w:sz w:val="28"/>
          <w:szCs w:val="28"/>
        </w:rPr>
        <w:t>(</w:t>
      </w:r>
      <w:r>
        <w:rPr>
          <w:rFonts w:ascii="FangSong" w:hAnsi="FangSong" w:eastAsia="FangSong" w:cs="FangSong"/>
          <w:spacing w:val="-9"/>
          <w:sz w:val="28"/>
          <w:szCs w:val="28"/>
        </w:rPr>
        <w:t>三)投资权益类或混合类高风险等级的项目(风险等级R4及以</w:t>
      </w:r>
      <w:r>
        <w:rPr>
          <w:rFonts w:ascii="FangSong" w:hAnsi="FangSong" w:eastAsia="FangSong" w:cs="FangSong"/>
          <w:spacing w:val="-1"/>
          <w:sz w:val="28"/>
          <w:szCs w:val="28"/>
        </w:rPr>
        <w:t>上)，应审慎研究投资项目的可行性及风</w:t>
      </w:r>
      <w:r>
        <w:rPr>
          <w:rFonts w:ascii="FangSong" w:hAnsi="FangSong" w:eastAsia="FangSong" w:cs="FangSong"/>
          <w:sz w:val="28"/>
          <w:szCs w:val="28"/>
        </w:rPr>
        <w:t>险控制；</w:t>
      </w:r>
    </w:p>
    <w:p>
      <w:pPr>
        <w:spacing w:line="222" w:lineRule="auto"/>
        <w:ind w:left="654"/>
        <w:sectPr>
          <w:footerReference r:id="rId12" w:type="default"/>
          <w:pgSz w:w="11907" w:h="16839"/>
          <w:pgMar w:top="1214" w:right="1771" w:bottom="1665" w:left="1771" w:header="516" w:footer="1424" w:gutter="0"/>
          <w:cols w:space="720" w:num="1"/>
        </w:sectPr>
      </w:pPr>
      <w:r>
        <w:rPr>
          <w:rFonts w:ascii="FangSong" w:hAnsi="FangSong" w:eastAsia="FangSong" w:cs="FangSong"/>
          <w:spacing w:val="-16"/>
          <w:sz w:val="28"/>
          <w:szCs w:val="28"/>
        </w:rPr>
        <w:t>(</w:t>
      </w:r>
      <w:r>
        <w:rPr>
          <w:rFonts w:ascii="FangSong" w:hAnsi="FangSong" w:eastAsia="FangSong" w:cs="FangSong"/>
          <w:spacing w:val="-9"/>
          <w:sz w:val="28"/>
          <w:szCs w:val="28"/>
        </w:rPr>
        <w:t>四)基金会应按每个(类)投资产品或项目确定风险预算、业</w:t>
      </w:r>
    </w:p>
    <w:p>
      <w:pPr>
        <w:spacing w:line="304" w:lineRule="auto"/>
        <w:rPr>
          <w:rFonts w:ascii="Arial"/>
          <w:sz w:val="21"/>
        </w:rPr>
      </w:pPr>
    </w:p>
    <w:p>
      <w:pPr>
        <w:spacing w:before="91" w:line="223" w:lineRule="auto"/>
        <w:ind w:left="160"/>
        <w:rPr>
          <w:rFonts w:ascii="FangSong" w:hAnsi="FangSong" w:eastAsia="FangSong" w:cs="FangSong"/>
          <w:sz w:val="28"/>
          <w:szCs w:val="28"/>
        </w:rPr>
      </w:pPr>
      <w:r>
        <w:rPr>
          <w:rFonts w:ascii="FangSong" w:hAnsi="FangSong" w:eastAsia="FangSong" w:cs="FangSong"/>
          <w:spacing w:val="-2"/>
          <w:sz w:val="28"/>
          <w:szCs w:val="28"/>
        </w:rPr>
        <w:t>基准及预警、止</w:t>
      </w:r>
      <w:r>
        <w:rPr>
          <w:rFonts w:ascii="FangSong" w:hAnsi="FangSong" w:eastAsia="FangSong" w:cs="FangSong"/>
          <w:spacing w:val="-1"/>
          <w:sz w:val="28"/>
          <w:szCs w:val="28"/>
        </w:rPr>
        <w:t>损规则。</w:t>
      </w:r>
    </w:p>
    <w:p>
      <w:pPr>
        <w:spacing w:before="285" w:line="223" w:lineRule="auto"/>
        <w:ind w:left="453"/>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第二十五条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投资活动出现以下情况之一的，投资活动</w:t>
      </w:r>
      <w:r>
        <w:rPr>
          <w:rFonts w:ascii="FangSong" w:hAnsi="FangSong" w:eastAsia="FangSong" w:cs="FangSong"/>
          <w:sz w:val="28"/>
          <w:szCs w:val="28"/>
        </w:rPr>
        <w:t>终止：</w:t>
      </w:r>
    </w:p>
    <w:p>
      <w:pPr>
        <w:spacing w:before="285" w:line="223" w:lineRule="auto"/>
        <w:ind w:left="654"/>
        <w:rPr>
          <w:rFonts w:ascii="FangSong" w:hAnsi="FangSong" w:eastAsia="FangSong" w:cs="FangSong"/>
          <w:sz w:val="28"/>
          <w:szCs w:val="28"/>
        </w:rPr>
      </w:pPr>
      <w:r>
        <w:rPr>
          <w:rFonts w:ascii="FangSong" w:hAnsi="FangSong" w:eastAsia="FangSong" w:cs="FangSong"/>
          <w:spacing w:val="-8"/>
          <w:sz w:val="28"/>
          <w:szCs w:val="28"/>
        </w:rPr>
        <w:t>(一)投资项目期限届满且没有续期的</w:t>
      </w:r>
      <w:r>
        <w:rPr>
          <w:rFonts w:ascii="FangSong" w:hAnsi="FangSong" w:eastAsia="FangSong" w:cs="FangSong"/>
          <w:spacing w:val="-7"/>
          <w:sz w:val="28"/>
          <w:szCs w:val="28"/>
        </w:rPr>
        <w:t>；</w:t>
      </w:r>
    </w:p>
    <w:p>
      <w:pPr>
        <w:spacing w:before="286" w:line="221" w:lineRule="auto"/>
        <w:ind w:left="654"/>
        <w:rPr>
          <w:rFonts w:ascii="FangSong" w:hAnsi="FangSong" w:eastAsia="FangSong" w:cs="FangSong"/>
          <w:sz w:val="28"/>
          <w:szCs w:val="28"/>
        </w:rPr>
      </w:pPr>
      <w:r>
        <w:rPr>
          <w:rFonts w:ascii="FangSong" w:hAnsi="FangSong" w:eastAsia="FangSong" w:cs="FangSong"/>
          <w:spacing w:val="-20"/>
          <w:sz w:val="28"/>
          <w:szCs w:val="28"/>
        </w:rPr>
        <w:t>(二</w:t>
      </w:r>
      <w:r>
        <w:rPr>
          <w:rFonts w:ascii="FangSong" w:hAnsi="FangSong" w:eastAsia="FangSong" w:cs="FangSong"/>
          <w:spacing w:val="-11"/>
          <w:sz w:val="28"/>
          <w:szCs w:val="28"/>
        </w:rPr>
        <w:t>)</w:t>
      </w:r>
      <w:r>
        <w:rPr>
          <w:rFonts w:ascii="FangSong" w:hAnsi="FangSong" w:eastAsia="FangSong" w:cs="FangSong"/>
          <w:spacing w:val="-10"/>
          <w:sz w:val="28"/>
          <w:szCs w:val="28"/>
        </w:rPr>
        <w:t>根据理事会通过的投资计划及止损规则，达到终止标准的；</w:t>
      </w:r>
    </w:p>
    <w:p>
      <w:pPr>
        <w:spacing w:before="288" w:line="222" w:lineRule="auto"/>
        <w:ind w:left="654"/>
        <w:rPr>
          <w:rFonts w:ascii="FangSong" w:hAnsi="FangSong" w:eastAsia="FangSong" w:cs="FangSong"/>
          <w:sz w:val="28"/>
          <w:szCs w:val="28"/>
        </w:rPr>
      </w:pPr>
      <w:r>
        <w:rPr>
          <w:rFonts w:ascii="FangSong" w:hAnsi="FangSong" w:eastAsia="FangSong" w:cs="FangSong"/>
          <w:spacing w:val="-10"/>
          <w:sz w:val="28"/>
          <w:szCs w:val="28"/>
        </w:rPr>
        <w:t>(三)</w:t>
      </w:r>
      <w:r>
        <w:rPr>
          <w:rFonts w:ascii="FangSong" w:hAnsi="FangSong" w:eastAsia="FangSong" w:cs="FangSong"/>
          <w:spacing w:val="-5"/>
          <w:sz w:val="28"/>
          <w:szCs w:val="28"/>
        </w:rPr>
        <w:t>投资项目可能会损害基金会声誉或引发重大舆情的；</w:t>
      </w:r>
    </w:p>
    <w:p>
      <w:pPr>
        <w:spacing w:before="288" w:line="411" w:lineRule="auto"/>
        <w:ind w:left="168" w:right="226" w:firstLine="486"/>
        <w:rPr>
          <w:rFonts w:ascii="FangSong" w:hAnsi="FangSong" w:eastAsia="FangSong" w:cs="FangSong"/>
          <w:sz w:val="28"/>
          <w:szCs w:val="28"/>
        </w:rPr>
      </w:pPr>
      <w:r>
        <w:rPr>
          <w:rFonts w:ascii="FangSong" w:hAnsi="FangSong" w:eastAsia="FangSong" w:cs="FangSong"/>
          <w:spacing w:val="-1"/>
          <w:sz w:val="28"/>
          <w:szCs w:val="28"/>
        </w:rPr>
        <w:t>(四)受委托的第三方投资管理公司主体资格</w:t>
      </w:r>
      <w:r>
        <w:rPr>
          <w:rFonts w:ascii="FangSong" w:hAnsi="FangSong" w:eastAsia="FangSong" w:cs="FangSong"/>
          <w:sz w:val="28"/>
          <w:szCs w:val="28"/>
        </w:rPr>
        <w:t>灭失或者被司法机</w:t>
      </w:r>
      <w:r>
        <w:rPr>
          <w:rFonts w:ascii="FangSong" w:hAnsi="FangSong" w:eastAsia="FangSong" w:cs="FangSong"/>
          <w:spacing w:val="-4"/>
          <w:sz w:val="28"/>
          <w:szCs w:val="28"/>
        </w:rPr>
        <w:t>关追究</w:t>
      </w:r>
      <w:r>
        <w:rPr>
          <w:rFonts w:ascii="FangSong" w:hAnsi="FangSong" w:eastAsia="FangSong" w:cs="FangSong"/>
          <w:spacing w:val="-3"/>
          <w:sz w:val="28"/>
          <w:szCs w:val="28"/>
        </w:rPr>
        <w:t>刑</w:t>
      </w:r>
      <w:r>
        <w:rPr>
          <w:rFonts w:ascii="FangSong" w:hAnsi="FangSong" w:eastAsia="FangSong" w:cs="FangSong"/>
          <w:spacing w:val="-2"/>
          <w:sz w:val="28"/>
          <w:szCs w:val="28"/>
        </w:rPr>
        <w:t>事责任的；</w:t>
      </w:r>
    </w:p>
    <w:p>
      <w:pPr>
        <w:spacing w:before="2" w:line="222" w:lineRule="auto"/>
        <w:ind w:left="654"/>
        <w:rPr>
          <w:rFonts w:ascii="FangSong" w:hAnsi="FangSong" w:eastAsia="FangSong" w:cs="FangSong"/>
          <w:sz w:val="28"/>
          <w:szCs w:val="28"/>
        </w:rPr>
      </w:pPr>
      <w:r>
        <w:rPr>
          <w:rFonts w:ascii="FangSong" w:hAnsi="FangSong" w:eastAsia="FangSong" w:cs="FangSong"/>
          <w:spacing w:val="-20"/>
          <w:sz w:val="28"/>
          <w:szCs w:val="28"/>
        </w:rPr>
        <w:t>(</w:t>
      </w:r>
      <w:r>
        <w:rPr>
          <w:rFonts w:ascii="FangSong" w:hAnsi="FangSong" w:eastAsia="FangSong" w:cs="FangSong"/>
          <w:spacing w:val="-11"/>
          <w:sz w:val="28"/>
          <w:szCs w:val="28"/>
        </w:rPr>
        <w:t>五</w:t>
      </w:r>
      <w:r>
        <w:rPr>
          <w:rFonts w:ascii="FangSong" w:hAnsi="FangSong" w:eastAsia="FangSong" w:cs="FangSong"/>
          <w:spacing w:val="-10"/>
          <w:sz w:val="28"/>
          <w:szCs w:val="28"/>
        </w:rPr>
        <w:t>)理事会认为应当终止的；</w:t>
      </w:r>
    </w:p>
    <w:p>
      <w:pPr>
        <w:spacing w:before="286" w:line="222" w:lineRule="auto"/>
        <w:ind w:left="655"/>
        <w:rPr>
          <w:rFonts w:ascii="FangSong" w:hAnsi="FangSong" w:eastAsia="FangSong" w:cs="FangSong"/>
          <w:sz w:val="28"/>
          <w:szCs w:val="28"/>
        </w:rPr>
      </w:pPr>
      <w:r>
        <w:rPr>
          <w:rFonts w:ascii="FangSong" w:hAnsi="FangSong" w:eastAsia="FangSong" w:cs="FangSong"/>
          <w:spacing w:val="-7"/>
          <w:sz w:val="28"/>
          <w:szCs w:val="28"/>
        </w:rPr>
        <w:t>(六)其他应当终止的情形发生的。</w:t>
      </w:r>
    </w:p>
    <w:p>
      <w:pPr>
        <w:spacing w:line="320" w:lineRule="auto"/>
        <w:rPr>
          <w:rFonts w:ascii="Arial"/>
          <w:sz w:val="21"/>
        </w:rPr>
      </w:pPr>
    </w:p>
    <w:p>
      <w:pPr>
        <w:spacing w:before="101" w:line="226" w:lineRule="auto"/>
        <w:ind w:left="2105"/>
        <w:rPr>
          <w:rFonts w:ascii="SimHei" w:hAnsi="SimHei" w:eastAsia="SimHei" w:cs="SimHei"/>
          <w:sz w:val="31"/>
          <w:szCs w:val="31"/>
        </w:rPr>
      </w:pPr>
      <w:r>
        <w:rPr>
          <w:rFonts w:ascii="SimHei" w:hAnsi="SimHei" w:eastAsia="SimHei" w:cs="SimHei"/>
          <w:spacing w:val="16"/>
          <w:sz w:val="31"/>
          <w:szCs w:val="31"/>
          <w14:textOutline w14:w="5791" w14:cap="flat" w14:cmpd="sng">
            <w14:solidFill>
              <w14:srgbClr w14:val="000000"/>
            </w14:solidFill>
            <w14:prstDash w14:val="solid"/>
            <w14:miter w14:val="10"/>
          </w14:textOutline>
        </w:rPr>
        <w:t>第</w:t>
      </w:r>
      <w:r>
        <w:rPr>
          <w:rFonts w:ascii="SimHei" w:hAnsi="SimHei" w:eastAsia="SimHei" w:cs="SimHei"/>
          <w:spacing w:val="9"/>
          <w:sz w:val="31"/>
          <w:szCs w:val="31"/>
          <w14:textOutline w14:w="5791" w14:cap="flat" w14:cmpd="sng">
            <w14:solidFill>
              <w14:srgbClr w14:val="000000"/>
            </w14:solidFill>
            <w14:prstDash w14:val="solid"/>
            <w14:miter w14:val="10"/>
          </w14:textOutline>
        </w:rPr>
        <w:t>七章风险管控及责任追究</w:t>
      </w:r>
    </w:p>
    <w:p>
      <w:pPr>
        <w:spacing w:line="329" w:lineRule="auto"/>
        <w:rPr>
          <w:rFonts w:ascii="Arial"/>
          <w:sz w:val="21"/>
        </w:rPr>
      </w:pPr>
    </w:p>
    <w:p>
      <w:pPr>
        <w:spacing w:before="92" w:line="411" w:lineRule="auto"/>
        <w:ind w:left="49" w:right="222" w:firstLine="547"/>
        <w:rPr>
          <w:rFonts w:ascii="FangSong" w:hAnsi="FangSong" w:eastAsia="FangSong" w:cs="FangSong"/>
          <w:sz w:val="28"/>
          <w:szCs w:val="28"/>
        </w:rPr>
      </w:pPr>
      <w:r>
        <w:rPr>
          <w:rFonts w:ascii="FangSong" w:hAnsi="FangSong" w:eastAsia="FangSong" w:cs="FangSong"/>
          <w:spacing w:val="2"/>
          <w:sz w:val="28"/>
          <w:szCs w:val="28"/>
          <w14:textOutline w14:w="5092" w14:cap="flat" w14:cmpd="sng">
            <w14:solidFill>
              <w14:srgbClr w14:val="000000"/>
            </w14:solidFill>
            <w14:prstDash w14:val="solid"/>
            <w14:miter w14:val="10"/>
          </w14:textOutline>
        </w:rPr>
        <w:t>第二十六条</w:t>
      </w:r>
      <w:r>
        <w:rPr>
          <w:rFonts w:hint="default" w:ascii="FangSong" w:hAnsi="FangSong" w:eastAsia="FangSong" w:cs="FangSong"/>
          <w:spacing w:val="2"/>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2"/>
          <w:sz w:val="28"/>
          <w:szCs w:val="28"/>
        </w:rPr>
        <w:t>基金会理事会、</w:t>
      </w:r>
      <w:r>
        <w:rPr>
          <w:rFonts w:ascii="FangSong" w:hAnsi="FangSong" w:eastAsia="FangSong" w:cs="FangSong"/>
          <w:spacing w:val="1"/>
          <w:sz w:val="28"/>
          <w:szCs w:val="28"/>
        </w:rPr>
        <w:t>投委会及秘书处综合管理部对应的</w:t>
      </w:r>
      <w:r>
        <w:rPr>
          <w:rFonts w:ascii="FangSong" w:hAnsi="FangSong" w:eastAsia="FangSong" w:cs="FangSong"/>
          <w:spacing w:val="-6"/>
          <w:sz w:val="28"/>
          <w:szCs w:val="28"/>
        </w:rPr>
        <w:t>决策、执行人员，</w:t>
      </w:r>
      <w:r>
        <w:rPr>
          <w:rFonts w:ascii="FangSong" w:hAnsi="FangSong" w:eastAsia="FangSong" w:cs="FangSong"/>
          <w:spacing w:val="-3"/>
          <w:sz w:val="28"/>
          <w:szCs w:val="28"/>
        </w:rPr>
        <w:t>应当遵守法律法规、基金会章程及本办法的相关规</w:t>
      </w:r>
      <w:r>
        <w:rPr>
          <w:rFonts w:ascii="FangSong" w:hAnsi="FangSong" w:eastAsia="FangSong" w:cs="FangSong"/>
          <w:spacing w:val="-16"/>
          <w:sz w:val="28"/>
          <w:szCs w:val="28"/>
        </w:rPr>
        <w:t>定</w:t>
      </w:r>
      <w:r>
        <w:rPr>
          <w:rFonts w:ascii="FangSong" w:hAnsi="FangSong" w:eastAsia="FangSong" w:cs="FangSong"/>
          <w:spacing w:val="-15"/>
          <w:sz w:val="28"/>
          <w:szCs w:val="28"/>
        </w:rPr>
        <w:t>执行，严格履行谨慎、勤勉尽责义务。</w:t>
      </w:r>
    </w:p>
    <w:p>
      <w:pPr>
        <w:spacing w:before="2" w:line="416" w:lineRule="auto"/>
        <w:ind w:left="50" w:firstLine="546"/>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第二十七条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基金会在开展保值增值投</w:t>
      </w:r>
      <w:r>
        <w:rPr>
          <w:rFonts w:ascii="FangSong" w:hAnsi="FangSong" w:eastAsia="FangSong" w:cs="FangSong"/>
          <w:sz w:val="28"/>
          <w:szCs w:val="28"/>
        </w:rPr>
        <w:t>资活动时有违法违规行为，</w:t>
      </w:r>
      <w:r>
        <w:rPr>
          <w:rFonts w:ascii="FangSong" w:hAnsi="FangSong" w:eastAsia="FangSong" w:cs="FangSong"/>
          <w:spacing w:val="-1"/>
          <w:sz w:val="28"/>
          <w:szCs w:val="28"/>
        </w:rPr>
        <w:t>致使基金会财产损失的，相关人员应当承担相应</w:t>
      </w:r>
      <w:r>
        <w:rPr>
          <w:rFonts w:ascii="FangSong" w:hAnsi="FangSong" w:eastAsia="FangSong" w:cs="FangSong"/>
          <w:sz w:val="28"/>
          <w:szCs w:val="28"/>
        </w:rPr>
        <w:t>责任。</w:t>
      </w:r>
    </w:p>
    <w:p>
      <w:pPr>
        <w:spacing w:before="119" w:line="227" w:lineRule="auto"/>
        <w:ind w:left="3154"/>
        <w:rPr>
          <w:rFonts w:ascii="SimHei" w:hAnsi="SimHei" w:eastAsia="SimHei" w:cs="SimHei"/>
          <w:b/>
          <w:bCs/>
          <w:sz w:val="31"/>
          <w:szCs w:val="31"/>
        </w:rPr>
      </w:pPr>
      <w:r>
        <w:rPr>
          <w:rFonts w:ascii="SimHei" w:hAnsi="SimHei" w:eastAsia="SimHei" w:cs="SimHei"/>
          <w:b/>
          <w:bCs/>
          <w:spacing w:val="7"/>
          <w:sz w:val="31"/>
          <w:szCs w:val="31"/>
        </w:rPr>
        <w:t>第八章附</w:t>
      </w:r>
      <w:r>
        <w:rPr>
          <w:rFonts w:ascii="SimHei" w:hAnsi="SimHei" w:eastAsia="SimHei" w:cs="SimHei"/>
          <w:b/>
          <w:bCs/>
          <w:spacing w:val="6"/>
          <w:sz w:val="31"/>
          <w:szCs w:val="31"/>
        </w:rPr>
        <w:t>则</w:t>
      </w:r>
    </w:p>
    <w:p>
      <w:pPr>
        <w:spacing w:line="327" w:lineRule="auto"/>
        <w:rPr>
          <w:rFonts w:ascii="Arial"/>
          <w:sz w:val="21"/>
        </w:rPr>
      </w:pPr>
    </w:p>
    <w:p>
      <w:pPr>
        <w:spacing w:before="92" w:line="411" w:lineRule="auto"/>
        <w:ind w:left="62" w:right="285" w:firstLine="534"/>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第二十八条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本制度由投资管理委员会负责修</w:t>
      </w:r>
      <w:bookmarkStart w:id="0" w:name="_GoBack"/>
      <w:bookmarkEnd w:id="0"/>
      <w:r>
        <w:rPr>
          <w:rFonts w:ascii="FangSong" w:hAnsi="FangSong" w:eastAsia="FangSong" w:cs="FangSong"/>
          <w:spacing w:val="-1"/>
          <w:sz w:val="28"/>
          <w:szCs w:val="28"/>
        </w:rPr>
        <w:t>订，</w:t>
      </w:r>
      <w:r>
        <w:rPr>
          <w:rFonts w:ascii="FangSong" w:hAnsi="FangSong" w:eastAsia="FangSong" w:cs="FangSong"/>
          <w:sz w:val="28"/>
          <w:szCs w:val="28"/>
        </w:rPr>
        <w:t>由秘书处综合</w:t>
      </w:r>
      <w:r>
        <w:rPr>
          <w:rFonts w:ascii="FangSong" w:hAnsi="FangSong" w:eastAsia="FangSong" w:cs="FangSong"/>
          <w:spacing w:val="-4"/>
          <w:sz w:val="28"/>
          <w:szCs w:val="28"/>
        </w:rPr>
        <w:t>管理部负责解释</w:t>
      </w:r>
      <w:r>
        <w:rPr>
          <w:rFonts w:ascii="FangSong" w:hAnsi="FangSong" w:eastAsia="FangSong" w:cs="FangSong"/>
          <w:spacing w:val="-3"/>
          <w:sz w:val="28"/>
          <w:szCs w:val="28"/>
        </w:rPr>
        <w:t>。</w:t>
      </w:r>
    </w:p>
    <w:p>
      <w:pPr>
        <w:spacing w:before="1" w:line="411" w:lineRule="auto"/>
        <w:ind w:left="52" w:right="285" w:firstLine="544"/>
        <w:rPr>
          <w:rFonts w:ascii="FangSong" w:hAnsi="FangSong" w:eastAsia="FangSong" w:cs="FangSong"/>
          <w:sz w:val="28"/>
          <w:szCs w:val="28"/>
        </w:rPr>
      </w:pPr>
      <w:r>
        <w:rPr>
          <w:rFonts w:ascii="FangSong" w:hAnsi="FangSong" w:eastAsia="FangSong" w:cs="FangSong"/>
          <w:spacing w:val="-1"/>
          <w:sz w:val="28"/>
          <w:szCs w:val="28"/>
          <w14:textOutline w14:w="5092" w14:cap="flat" w14:cmpd="sng">
            <w14:solidFill>
              <w14:srgbClr w14:val="000000"/>
            </w14:solidFill>
            <w14:prstDash w14:val="solid"/>
            <w14:miter w14:val="10"/>
          </w14:textOutline>
        </w:rPr>
        <w:t>第二十九条</w:t>
      </w:r>
      <w:r>
        <w:rPr>
          <w:rFonts w:hint="default" w:ascii="FangSong" w:hAnsi="FangSong" w:eastAsia="FangSong" w:cs="FangSong"/>
          <w:spacing w:val="-1"/>
          <w:sz w:val="28"/>
          <w:szCs w:val="28"/>
          <w14:textOutline w14:w="5092" w14:cap="flat" w14:cmpd="sng">
            <w14:solidFill>
              <w14:srgbClr w14:val="000000"/>
            </w14:solidFill>
            <w14:prstDash w14:val="solid"/>
            <w14:miter w14:val="10"/>
          </w14:textOutline>
        </w:rPr>
        <w:t xml:space="preserve">  </w:t>
      </w:r>
      <w:r>
        <w:rPr>
          <w:rFonts w:ascii="FangSong" w:hAnsi="FangSong" w:eastAsia="FangSong" w:cs="FangSong"/>
          <w:spacing w:val="-1"/>
          <w:sz w:val="28"/>
          <w:szCs w:val="28"/>
        </w:rPr>
        <w:t>本制度经第三届理事会第二次会议审议</w:t>
      </w:r>
      <w:r>
        <w:rPr>
          <w:rFonts w:ascii="FangSong" w:hAnsi="FangSong" w:eastAsia="FangSong" w:cs="FangSong"/>
          <w:sz w:val="28"/>
          <w:szCs w:val="28"/>
        </w:rPr>
        <w:t>通过后颁布</w:t>
      </w:r>
      <w:r>
        <w:rPr>
          <w:rFonts w:ascii="FangSong" w:hAnsi="FangSong" w:eastAsia="FangSong" w:cs="FangSong"/>
          <w:spacing w:val="-9"/>
          <w:sz w:val="28"/>
          <w:szCs w:val="28"/>
        </w:rPr>
        <w:t>实</w:t>
      </w:r>
      <w:r>
        <w:rPr>
          <w:rFonts w:ascii="FangSong" w:hAnsi="FangSong" w:eastAsia="FangSong" w:cs="FangSong"/>
          <w:spacing w:val="-7"/>
          <w:sz w:val="28"/>
          <w:szCs w:val="28"/>
        </w:rPr>
        <w:t>施。</w:t>
      </w:r>
    </w:p>
    <w:p>
      <w:pPr>
        <w:spacing w:before="1" w:line="222" w:lineRule="auto"/>
        <w:ind w:left="5555"/>
        <w:rPr>
          <w:rFonts w:ascii="FangSong" w:hAnsi="FangSong" w:eastAsia="FangSong" w:cs="FangSong"/>
          <w:sz w:val="28"/>
          <w:szCs w:val="28"/>
        </w:rPr>
      </w:pPr>
      <w:r>
        <w:rPr>
          <w:rFonts w:ascii="FangSong" w:hAnsi="FangSong" w:eastAsia="FangSong" w:cs="FangSong"/>
          <w:spacing w:val="-4"/>
          <w:sz w:val="28"/>
          <w:szCs w:val="28"/>
        </w:rPr>
        <w:t>深圳市慈航纳生</w:t>
      </w:r>
      <w:r>
        <w:rPr>
          <w:rFonts w:ascii="FangSong" w:hAnsi="FangSong" w:eastAsia="FangSong" w:cs="FangSong"/>
          <w:spacing w:val="-2"/>
          <w:sz w:val="28"/>
          <w:szCs w:val="28"/>
        </w:rPr>
        <w:t>慈善基金会</w:t>
      </w:r>
    </w:p>
    <w:sectPr>
      <w:headerReference r:id="rId13" w:type="default"/>
      <w:footerReference r:id="rId14" w:type="default"/>
      <w:pgSz w:w="11907" w:h="16839"/>
      <w:pgMar w:top="1214" w:right="1574" w:bottom="1665" w:left="1771" w:header="516" w:footer="142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SimHei">
    <w:panose1 w:val="02010609060101010101"/>
    <w:charset w:val="86"/>
    <w:family w:val="auto"/>
    <w:pitch w:val="default"/>
    <w:sig w:usb0="00000000" w:usb1="00000000" w:usb2="00000000" w:usb3="00000000" w:csb0="00160000" w:csb1="00000000"/>
  </w:font>
  <w:font w:name="FangSong">
    <w:panose1 w:val="0201060906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73"/>
      <w:rPr>
        <w:rFonts w:ascii="Calibri" w:hAnsi="Calibri" w:eastAsia="Calibri" w:cs="Calibri"/>
        <w:sz w:val="18"/>
        <w:szCs w:val="18"/>
      </w:rPr>
    </w:pPr>
    <w:r>
      <w:rPr>
        <w:rFonts w:ascii="Calibri" w:hAnsi="Calibri" w:eastAsia="Calibri" w:cs="Calibri"/>
        <w:b/>
        <w:bCs/>
        <w:spacing w:val="-2"/>
        <w:position w:val="2"/>
        <w:sz w:val="18"/>
        <w:szCs w:val="18"/>
      </w:rPr>
      <w:t>1</w:t>
    </w:r>
    <w:r>
      <w:rPr>
        <w:rFonts w:ascii="Calibri" w:hAnsi="Calibri" w:eastAsia="Calibri" w:cs="Calibri"/>
        <w:spacing w:val="-2"/>
        <w:position w:val="2"/>
        <w:sz w:val="18"/>
        <w:szCs w:val="18"/>
      </w:rPr>
      <w:t>/</w:t>
    </w:r>
    <w:r>
      <w:rPr>
        <w:rFonts w:ascii="Calibri" w:hAnsi="Calibri" w:eastAsia="Calibri" w:cs="Calibri"/>
        <w:b/>
        <w:bCs/>
        <w:spacing w:val="-1"/>
        <w:position w:val="2"/>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8"/>
      <w:rPr>
        <w:rFonts w:ascii="Calibri" w:hAnsi="Calibri" w:eastAsia="Calibri" w:cs="Calibri"/>
        <w:sz w:val="18"/>
        <w:szCs w:val="18"/>
      </w:rPr>
    </w:pPr>
    <w:r>
      <w:rPr>
        <w:rFonts w:ascii="Calibri" w:hAnsi="Calibri" w:eastAsia="Calibri" w:cs="Calibri"/>
        <w:b/>
        <w:bCs/>
        <w:spacing w:val="-1"/>
        <w:position w:val="2"/>
        <w:sz w:val="18"/>
        <w:szCs w:val="18"/>
      </w:rPr>
      <w:t>2</w:t>
    </w:r>
    <w:r>
      <w:rPr>
        <w:rFonts w:ascii="Calibri" w:hAnsi="Calibri" w:eastAsia="Calibri" w:cs="Calibri"/>
        <w:spacing w:val="-1"/>
        <w:position w:val="2"/>
        <w:sz w:val="18"/>
        <w:szCs w:val="18"/>
      </w:rPr>
      <w:t>/</w:t>
    </w:r>
    <w:r>
      <w:rPr>
        <w:rFonts w:ascii="Calibri" w:hAnsi="Calibri" w:eastAsia="Calibri" w:cs="Calibri"/>
        <w:b/>
        <w:bCs/>
        <w:position w:val="2"/>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8"/>
      <w:rPr>
        <w:rFonts w:ascii="Calibri" w:hAnsi="Calibri" w:eastAsia="Calibri" w:cs="Calibri"/>
        <w:sz w:val="18"/>
        <w:szCs w:val="18"/>
      </w:rPr>
    </w:pPr>
    <w:r>
      <w:rPr>
        <w:rFonts w:ascii="Calibri" w:hAnsi="Calibri" w:eastAsia="Calibri" w:cs="Calibri"/>
        <w:b/>
        <w:bCs/>
        <w:spacing w:val="-1"/>
        <w:position w:val="2"/>
        <w:sz w:val="18"/>
        <w:szCs w:val="18"/>
      </w:rPr>
      <w:t>3</w:t>
    </w:r>
    <w:r>
      <w:rPr>
        <w:rFonts w:ascii="Calibri" w:hAnsi="Calibri" w:eastAsia="Calibri" w:cs="Calibri"/>
        <w:spacing w:val="-1"/>
        <w:position w:val="2"/>
        <w:sz w:val="18"/>
        <w:szCs w:val="18"/>
      </w:rPr>
      <w:t>/</w:t>
    </w:r>
    <w:r>
      <w:rPr>
        <w:rFonts w:ascii="Calibri" w:hAnsi="Calibri" w:eastAsia="Calibri" w:cs="Calibri"/>
        <w:b/>
        <w:bCs/>
        <w:position w:val="2"/>
        <w:sz w:val="18"/>
        <w:szCs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4"/>
      <w:rPr>
        <w:rFonts w:ascii="Calibri" w:hAnsi="Calibri" w:eastAsia="Calibri" w:cs="Calibri"/>
        <w:sz w:val="18"/>
        <w:szCs w:val="18"/>
      </w:rPr>
    </w:pPr>
    <w:r>
      <w:rPr>
        <w:rFonts w:ascii="Calibri" w:hAnsi="Calibri" w:eastAsia="Calibri" w:cs="Calibri"/>
        <w:b/>
        <w:bCs/>
        <w:spacing w:val="1"/>
        <w:position w:val="2"/>
        <w:sz w:val="18"/>
        <w:szCs w:val="18"/>
      </w:rPr>
      <w:t>4</w:t>
    </w:r>
    <w:r>
      <w:rPr>
        <w:rFonts w:ascii="Calibri" w:hAnsi="Calibri" w:eastAsia="Calibri" w:cs="Calibri"/>
        <w:position w:val="2"/>
        <w:sz w:val="18"/>
        <w:szCs w:val="18"/>
      </w:rPr>
      <w:t>/</w:t>
    </w:r>
    <w:r>
      <w:rPr>
        <w:rFonts w:ascii="Calibri" w:hAnsi="Calibri" w:eastAsia="Calibri" w:cs="Calibri"/>
        <w:b/>
        <w:bCs/>
        <w:position w:val="2"/>
        <w:sz w:val="18"/>
        <w:szCs w:val="18"/>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9"/>
      <w:rPr>
        <w:rFonts w:ascii="Calibri" w:hAnsi="Calibri" w:eastAsia="Calibri" w:cs="Calibri"/>
        <w:sz w:val="18"/>
        <w:szCs w:val="18"/>
      </w:rPr>
    </w:pPr>
    <w:r>
      <w:rPr>
        <w:rFonts w:ascii="Calibri" w:hAnsi="Calibri" w:eastAsia="Calibri" w:cs="Calibri"/>
        <w:b/>
        <w:bCs/>
        <w:spacing w:val="-1"/>
        <w:position w:val="2"/>
        <w:sz w:val="18"/>
        <w:szCs w:val="18"/>
      </w:rPr>
      <w:t>5</w:t>
    </w:r>
    <w:r>
      <w:rPr>
        <w:rFonts w:ascii="Calibri" w:hAnsi="Calibri" w:eastAsia="Calibri" w:cs="Calibri"/>
        <w:spacing w:val="-1"/>
        <w:position w:val="2"/>
        <w:sz w:val="18"/>
        <w:szCs w:val="18"/>
      </w:rPr>
      <w:t>/</w:t>
    </w:r>
    <w:r>
      <w:rPr>
        <w:rFonts w:ascii="Calibri" w:hAnsi="Calibri" w:eastAsia="Calibri" w:cs="Calibri"/>
        <w:b/>
        <w:bCs/>
        <w:position w:val="2"/>
        <w:sz w:val="18"/>
        <w:szCs w:val="1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8"/>
      <w:rPr>
        <w:rFonts w:ascii="Calibri" w:hAnsi="Calibri" w:eastAsia="Calibri" w:cs="Calibri"/>
        <w:sz w:val="18"/>
        <w:szCs w:val="18"/>
      </w:rPr>
    </w:pPr>
    <w:r>
      <w:rPr>
        <w:rFonts w:ascii="Calibri" w:hAnsi="Calibri" w:eastAsia="Calibri" w:cs="Calibri"/>
        <w:b/>
        <w:bCs/>
        <w:spacing w:val="-1"/>
        <w:position w:val="2"/>
        <w:sz w:val="18"/>
        <w:szCs w:val="18"/>
      </w:rPr>
      <w:t>6</w:t>
    </w:r>
    <w:r>
      <w:rPr>
        <w:rFonts w:ascii="Calibri" w:hAnsi="Calibri" w:eastAsia="Calibri" w:cs="Calibri"/>
        <w:position w:val="2"/>
        <w:sz w:val="18"/>
        <w:szCs w:val="18"/>
      </w:rPr>
      <w:t>/</w:t>
    </w:r>
    <w:r>
      <w:rPr>
        <w:rFonts w:ascii="Calibri" w:hAnsi="Calibri" w:eastAsia="Calibri" w:cs="Calibri"/>
        <w:b/>
        <w:bCs/>
        <w:position w:val="2"/>
        <w:sz w:val="18"/>
        <w:szCs w:val="18"/>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8"/>
      <w:rPr>
        <w:rFonts w:ascii="Calibri" w:hAnsi="Calibri" w:eastAsia="Calibri" w:cs="Calibri"/>
        <w:sz w:val="18"/>
        <w:szCs w:val="18"/>
      </w:rPr>
    </w:pPr>
    <w:r>
      <w:rPr>
        <w:rFonts w:ascii="Calibri" w:hAnsi="Calibri" w:eastAsia="Calibri" w:cs="Calibri"/>
        <w:b/>
        <w:bCs/>
        <w:spacing w:val="-1"/>
        <w:position w:val="2"/>
        <w:sz w:val="18"/>
        <w:szCs w:val="18"/>
      </w:rPr>
      <w:t>7</w:t>
    </w:r>
    <w:r>
      <w:rPr>
        <w:rFonts w:ascii="Calibri" w:hAnsi="Calibri" w:eastAsia="Calibri" w:cs="Calibri"/>
        <w:position w:val="2"/>
        <w:sz w:val="18"/>
        <w:szCs w:val="18"/>
      </w:rPr>
      <w:t>/</w:t>
    </w:r>
    <w:r>
      <w:rPr>
        <w:rFonts w:ascii="Calibri" w:hAnsi="Calibri" w:eastAsia="Calibri" w:cs="Calibri"/>
        <w:b/>
        <w:bCs/>
        <w:position w:val="2"/>
        <w:sz w:val="18"/>
        <w:szCs w:val="1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066"/>
      <w:rPr>
        <w:rFonts w:ascii="Calibri" w:hAnsi="Calibri" w:eastAsia="Calibri" w:cs="Calibri"/>
        <w:sz w:val="18"/>
        <w:szCs w:val="18"/>
      </w:rPr>
    </w:pPr>
    <w:r>
      <w:rPr>
        <w:rFonts w:ascii="Calibri" w:hAnsi="Calibri" w:eastAsia="Calibri" w:cs="Calibri"/>
        <w:b/>
        <w:bCs/>
        <w:position w:val="2"/>
        <w:sz w:val="18"/>
        <w:szCs w:val="18"/>
      </w:rPr>
      <w:t>8</w:t>
    </w:r>
    <w:r>
      <w:rPr>
        <w:rFonts w:ascii="Calibri" w:hAnsi="Calibri" w:eastAsia="Calibri" w:cs="Calibri"/>
        <w:position w:val="2"/>
        <w:sz w:val="18"/>
        <w:szCs w:val="18"/>
      </w:rPr>
      <w:t>/</w:t>
    </w:r>
    <w:r>
      <w:rPr>
        <w:rFonts w:ascii="Calibri" w:hAnsi="Calibri" w:eastAsia="Calibri" w:cs="Calibri"/>
        <w:b/>
        <w:bCs/>
        <w:position w:val="2"/>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45" w:lineRule="exact"/>
      <w:ind w:firstLine="5632"/>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45" w:lineRule="exact"/>
      <w:textAlignment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BF9D1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2.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Office_4.2.2.6882_F1E327BC-269C-435d-A152-05C5408002CA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2022-06-25T23:50:00Z</dcterms:created>
  <dc:creator>Data</dc:creator>
  <cp:lastModifiedBy>杨洁</cp:lastModifiedBy>
  <dcterms:modified xsi:type="dcterms:W3CDTF">2022-06-28T22:13:32Z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2022-06-28T22:07:56Z</vt:filetime>
  </property>
  <property fmtid="{D5CDD505-2E9C-101B-9397-08002B2CF9AE}" pid="4" name="KSOProductBuildVer">
    <vt:lpwstr>2052-4.2.2.6882</vt:lpwstr>
  </property>
  <property fmtid="{D5CDD505-2E9C-101B-9397-08002B2CF9AE}" pid="5" name="ICV">
    <vt:lpwstr>3ED8C02EE257241D8C0CBB629DABE1BD</vt:lpwstr>
  </property>
</Properties>
</file>